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5D" w:rsidRPr="001E7BFF" w:rsidRDefault="005E455D" w:rsidP="005E455D">
      <w:pPr>
        <w:ind w:right="-74"/>
        <w:jc w:val="right"/>
        <w:rPr>
          <w:sz w:val="36"/>
          <w:szCs w:val="36"/>
        </w:rPr>
      </w:pPr>
      <w:r w:rsidRPr="001E7BFF">
        <w:rPr>
          <w:sz w:val="36"/>
          <w:szCs w:val="36"/>
        </w:rPr>
        <w:t>Appendix A</w:t>
      </w:r>
    </w:p>
    <w:p w:rsidR="005E455D" w:rsidRPr="00B245E9" w:rsidRDefault="005E455D" w:rsidP="005E455D">
      <w:pPr>
        <w:pBdr>
          <w:bottom w:val="single" w:sz="4" w:space="1" w:color="auto"/>
        </w:pBdr>
        <w:jc w:val="both"/>
        <w:rPr>
          <w:b/>
          <w:sz w:val="28"/>
          <w:szCs w:val="28"/>
        </w:rPr>
      </w:pPr>
      <w:r w:rsidRPr="00B245E9">
        <w:rPr>
          <w:b/>
          <w:sz w:val="28"/>
          <w:szCs w:val="28"/>
        </w:rPr>
        <w:t>Review of Treasury Management</w:t>
      </w:r>
      <w:r>
        <w:rPr>
          <w:b/>
          <w:sz w:val="28"/>
          <w:szCs w:val="28"/>
        </w:rPr>
        <w:t xml:space="preserve"> Activity</w:t>
      </w:r>
      <w:r w:rsidRPr="00B245E9">
        <w:rPr>
          <w:b/>
          <w:sz w:val="28"/>
          <w:szCs w:val="28"/>
        </w:rPr>
        <w:t xml:space="preserve"> 2016/17</w:t>
      </w:r>
    </w:p>
    <w:p w:rsidR="005E455D" w:rsidRPr="00B245E9" w:rsidRDefault="005E455D" w:rsidP="005E455D">
      <w:pPr>
        <w:jc w:val="both"/>
        <w:rPr>
          <w:szCs w:val="24"/>
        </w:rPr>
      </w:pPr>
    </w:p>
    <w:p w:rsidR="005E455D" w:rsidRPr="00B245E9" w:rsidRDefault="005E455D" w:rsidP="005E455D">
      <w:pPr>
        <w:jc w:val="both"/>
        <w:rPr>
          <w:b/>
          <w:szCs w:val="24"/>
        </w:rPr>
      </w:pPr>
      <w:r w:rsidRPr="00B245E9">
        <w:rPr>
          <w:b/>
          <w:szCs w:val="24"/>
        </w:rPr>
        <w:t>Introduction</w:t>
      </w:r>
    </w:p>
    <w:p w:rsidR="005E455D" w:rsidRPr="00B245E9" w:rsidRDefault="005E455D" w:rsidP="005E455D">
      <w:pPr>
        <w:jc w:val="both"/>
        <w:rPr>
          <w:szCs w:val="24"/>
        </w:rPr>
      </w:pPr>
    </w:p>
    <w:p w:rsidR="005E455D" w:rsidRPr="00672C95" w:rsidRDefault="005E455D" w:rsidP="005E455D">
      <w:pPr>
        <w:jc w:val="both"/>
        <w:rPr>
          <w:szCs w:val="24"/>
        </w:rPr>
      </w:pPr>
      <w:r w:rsidRPr="00B245E9">
        <w:rPr>
          <w:szCs w:val="24"/>
        </w:rPr>
        <w:t xml:space="preserve">The County Council’s Treasury Management activity is underpinned by CIPFA’s Code of Practice on Treasury Management (“the Code”), which requires authorities to produce Prudential Indicators and a Treasury Management Strategy Statement on the likely financing and investment activity annually. The Code also recommends that members </w:t>
      </w:r>
      <w:r w:rsidRPr="007357E3">
        <w:rPr>
          <w:szCs w:val="24"/>
        </w:rPr>
        <w:t>approve a treasury management report after the end of each financial year.</w:t>
      </w:r>
    </w:p>
    <w:p w:rsidR="005E455D" w:rsidRPr="000F6DF0" w:rsidRDefault="005E455D" w:rsidP="005E455D">
      <w:pPr>
        <w:jc w:val="both"/>
        <w:rPr>
          <w:szCs w:val="24"/>
          <w:highlight w:val="yellow"/>
        </w:rPr>
      </w:pPr>
    </w:p>
    <w:p w:rsidR="005E455D" w:rsidRDefault="005E455D" w:rsidP="005E455D">
      <w:pPr>
        <w:jc w:val="both"/>
        <w:rPr>
          <w:b/>
          <w:szCs w:val="24"/>
        </w:rPr>
      </w:pPr>
      <w:r w:rsidRPr="00B245E9">
        <w:rPr>
          <w:b/>
          <w:szCs w:val="24"/>
        </w:rPr>
        <w:t>Economic Summary 2016/17</w:t>
      </w:r>
    </w:p>
    <w:p w:rsidR="005E455D" w:rsidRDefault="005E455D" w:rsidP="005E455D">
      <w:pPr>
        <w:jc w:val="both"/>
        <w:rPr>
          <w:b/>
          <w:szCs w:val="24"/>
        </w:rPr>
      </w:pPr>
    </w:p>
    <w:p w:rsidR="005E455D" w:rsidRPr="006530A7" w:rsidRDefault="005E455D" w:rsidP="005E455D">
      <w:pPr>
        <w:jc w:val="both"/>
        <w:rPr>
          <w:szCs w:val="24"/>
        </w:rPr>
      </w:pPr>
      <w:r>
        <w:rPr>
          <w:szCs w:val="24"/>
        </w:rPr>
        <w:t xml:space="preserve">Treasury Management activity is influenced by the actual and forecast economic position. </w:t>
      </w:r>
      <w:r w:rsidRPr="006530A7">
        <w:rPr>
          <w:szCs w:val="24"/>
        </w:rPr>
        <w:t>The economic situation</w:t>
      </w:r>
      <w:r>
        <w:rPr>
          <w:szCs w:val="24"/>
        </w:rPr>
        <w:t xml:space="preserve"> in the year</w:t>
      </w:r>
      <w:r w:rsidRPr="006530A7">
        <w:rPr>
          <w:szCs w:val="24"/>
        </w:rPr>
        <w:t xml:space="preserve"> was</w:t>
      </w:r>
      <w:r>
        <w:rPr>
          <w:szCs w:val="24"/>
        </w:rPr>
        <w:t xml:space="preserve"> largely</w:t>
      </w:r>
      <w:r w:rsidRPr="006530A7">
        <w:rPr>
          <w:szCs w:val="24"/>
        </w:rPr>
        <w:t xml:space="preserve"> dominated by the uncertainty about the short and medium term implications of the decision</w:t>
      </w:r>
      <w:r>
        <w:rPr>
          <w:szCs w:val="24"/>
        </w:rPr>
        <w:t xml:space="preserve"> in June 2016</w:t>
      </w:r>
      <w:r w:rsidRPr="006530A7">
        <w:rPr>
          <w:szCs w:val="24"/>
        </w:rPr>
        <w:t xml:space="preserve"> to leave the E</w:t>
      </w:r>
      <w:r>
        <w:rPr>
          <w:szCs w:val="24"/>
        </w:rPr>
        <w:t xml:space="preserve">uropean </w:t>
      </w:r>
      <w:r w:rsidRPr="006530A7">
        <w:rPr>
          <w:szCs w:val="24"/>
        </w:rPr>
        <w:t>U</w:t>
      </w:r>
      <w:r>
        <w:rPr>
          <w:szCs w:val="24"/>
        </w:rPr>
        <w:t>nion</w:t>
      </w:r>
      <w:r w:rsidRPr="006530A7">
        <w:rPr>
          <w:szCs w:val="24"/>
        </w:rPr>
        <w:t>. In response to the risk of reduced economic growth the Bank of England Monetary Policy Committee initiated substantial monetary policy easing at its August meeting. This included a cut in Bank Rate to 0.25%, further gilt and corporate bond purchases (QE) and cheap funding for banks (Term Funding Scheme) to maintain the supply of credit to the economy</w:t>
      </w:r>
      <w:r>
        <w:rPr>
          <w:szCs w:val="24"/>
        </w:rPr>
        <w:t xml:space="preserve">. </w:t>
      </w:r>
    </w:p>
    <w:p w:rsidR="005E455D" w:rsidRPr="00B245E9" w:rsidRDefault="005E455D" w:rsidP="005E455D">
      <w:pPr>
        <w:jc w:val="both"/>
        <w:rPr>
          <w:b/>
          <w:szCs w:val="24"/>
        </w:rPr>
      </w:pPr>
    </w:p>
    <w:p w:rsidR="005E455D" w:rsidRDefault="005E455D" w:rsidP="005E455D">
      <w:pPr>
        <w:jc w:val="both"/>
        <w:rPr>
          <w:szCs w:val="24"/>
        </w:rPr>
      </w:pPr>
      <w:r>
        <w:rPr>
          <w:szCs w:val="24"/>
        </w:rPr>
        <w:t>The year has seen steady economic growth although the final quarter is at a lower rate with the quarterly rates being:</w:t>
      </w:r>
    </w:p>
    <w:p w:rsidR="005E455D" w:rsidRDefault="005E455D" w:rsidP="005E455D">
      <w:pPr>
        <w:jc w:val="both"/>
        <w:rPr>
          <w:szCs w:val="24"/>
        </w:rPr>
      </w:pPr>
    </w:p>
    <w:tbl>
      <w:tblPr>
        <w:tblStyle w:val="TableGrid"/>
        <w:tblW w:w="0" w:type="auto"/>
        <w:tblLook w:val="04A0" w:firstRow="1" w:lastRow="0" w:firstColumn="1" w:lastColumn="0" w:noHBand="0" w:noVBand="1"/>
      </w:tblPr>
      <w:tblGrid>
        <w:gridCol w:w="2830"/>
        <w:gridCol w:w="1985"/>
      </w:tblGrid>
      <w:tr w:rsidR="00CA6A90" w:rsidTr="005E455D">
        <w:tc>
          <w:tcPr>
            <w:tcW w:w="2830" w:type="dxa"/>
            <w:shd w:val="clear" w:color="auto" w:fill="DBE5F1" w:themeFill="accent1" w:themeFillTint="33"/>
          </w:tcPr>
          <w:p w:rsidR="005E455D" w:rsidRPr="00EA594A" w:rsidRDefault="005E455D" w:rsidP="005E455D">
            <w:pPr>
              <w:jc w:val="both"/>
              <w:rPr>
                <w:sz w:val="22"/>
                <w:szCs w:val="22"/>
              </w:rPr>
            </w:pPr>
            <w:r w:rsidRPr="00EA594A">
              <w:rPr>
                <w:sz w:val="22"/>
                <w:szCs w:val="22"/>
              </w:rPr>
              <w:t>Quarter ended :</w:t>
            </w:r>
          </w:p>
        </w:tc>
        <w:tc>
          <w:tcPr>
            <w:tcW w:w="1985" w:type="dxa"/>
            <w:shd w:val="clear" w:color="auto" w:fill="DBE5F1" w:themeFill="accent1" w:themeFillTint="33"/>
          </w:tcPr>
          <w:p w:rsidR="005E455D" w:rsidRPr="00EA594A" w:rsidRDefault="005E455D" w:rsidP="005E455D">
            <w:pPr>
              <w:jc w:val="center"/>
              <w:rPr>
                <w:sz w:val="22"/>
                <w:szCs w:val="22"/>
              </w:rPr>
            </w:pPr>
            <w:r w:rsidRPr="00EA594A">
              <w:rPr>
                <w:sz w:val="22"/>
                <w:szCs w:val="22"/>
              </w:rPr>
              <w:t>GDP growth (%)</w:t>
            </w:r>
          </w:p>
        </w:tc>
      </w:tr>
      <w:tr w:rsidR="00CA6A90" w:rsidTr="005E455D">
        <w:tc>
          <w:tcPr>
            <w:tcW w:w="2830" w:type="dxa"/>
          </w:tcPr>
          <w:p w:rsidR="005E455D" w:rsidRPr="00EA594A" w:rsidRDefault="005E455D" w:rsidP="005E455D">
            <w:pPr>
              <w:jc w:val="both"/>
              <w:rPr>
                <w:sz w:val="22"/>
                <w:szCs w:val="22"/>
              </w:rPr>
            </w:pPr>
            <w:r w:rsidRPr="00EA594A">
              <w:rPr>
                <w:sz w:val="22"/>
                <w:szCs w:val="22"/>
              </w:rPr>
              <w:t>June 2016</w:t>
            </w:r>
          </w:p>
        </w:tc>
        <w:tc>
          <w:tcPr>
            <w:tcW w:w="1985" w:type="dxa"/>
          </w:tcPr>
          <w:p w:rsidR="005E455D" w:rsidRPr="00EA594A" w:rsidRDefault="005E455D" w:rsidP="005E455D">
            <w:pPr>
              <w:jc w:val="center"/>
              <w:rPr>
                <w:sz w:val="22"/>
                <w:szCs w:val="22"/>
              </w:rPr>
            </w:pPr>
            <w:r w:rsidRPr="00EA594A">
              <w:rPr>
                <w:sz w:val="22"/>
                <w:szCs w:val="22"/>
              </w:rPr>
              <w:t>0.6</w:t>
            </w:r>
          </w:p>
        </w:tc>
      </w:tr>
      <w:tr w:rsidR="00CA6A90" w:rsidTr="005E455D">
        <w:tc>
          <w:tcPr>
            <w:tcW w:w="2830" w:type="dxa"/>
          </w:tcPr>
          <w:p w:rsidR="005E455D" w:rsidRPr="00EA594A" w:rsidRDefault="005E455D" w:rsidP="005E455D">
            <w:pPr>
              <w:jc w:val="both"/>
              <w:rPr>
                <w:sz w:val="22"/>
                <w:szCs w:val="22"/>
              </w:rPr>
            </w:pPr>
            <w:r w:rsidRPr="00EA594A">
              <w:rPr>
                <w:sz w:val="22"/>
                <w:szCs w:val="22"/>
              </w:rPr>
              <w:t>September 2016</w:t>
            </w:r>
          </w:p>
        </w:tc>
        <w:tc>
          <w:tcPr>
            <w:tcW w:w="1985" w:type="dxa"/>
          </w:tcPr>
          <w:p w:rsidR="005E455D" w:rsidRPr="00EA594A" w:rsidRDefault="005E455D" w:rsidP="005E455D">
            <w:pPr>
              <w:jc w:val="center"/>
              <w:rPr>
                <w:sz w:val="22"/>
                <w:szCs w:val="22"/>
              </w:rPr>
            </w:pPr>
            <w:r w:rsidRPr="00EA594A">
              <w:rPr>
                <w:sz w:val="22"/>
                <w:szCs w:val="22"/>
              </w:rPr>
              <w:t>0.5</w:t>
            </w:r>
          </w:p>
        </w:tc>
      </w:tr>
      <w:tr w:rsidR="00CA6A90" w:rsidTr="005E455D">
        <w:tc>
          <w:tcPr>
            <w:tcW w:w="2830" w:type="dxa"/>
          </w:tcPr>
          <w:p w:rsidR="005E455D" w:rsidRPr="00EA594A" w:rsidRDefault="005E455D" w:rsidP="005E455D">
            <w:pPr>
              <w:jc w:val="both"/>
              <w:rPr>
                <w:sz w:val="22"/>
                <w:szCs w:val="22"/>
              </w:rPr>
            </w:pPr>
            <w:r w:rsidRPr="00EA594A">
              <w:rPr>
                <w:sz w:val="22"/>
                <w:szCs w:val="22"/>
              </w:rPr>
              <w:t>December 2016</w:t>
            </w:r>
          </w:p>
        </w:tc>
        <w:tc>
          <w:tcPr>
            <w:tcW w:w="1985" w:type="dxa"/>
          </w:tcPr>
          <w:p w:rsidR="005E455D" w:rsidRPr="00EA594A" w:rsidRDefault="005E455D" w:rsidP="005E455D">
            <w:pPr>
              <w:jc w:val="center"/>
              <w:rPr>
                <w:sz w:val="22"/>
                <w:szCs w:val="22"/>
              </w:rPr>
            </w:pPr>
            <w:r w:rsidRPr="00EA594A">
              <w:rPr>
                <w:sz w:val="22"/>
                <w:szCs w:val="22"/>
              </w:rPr>
              <w:t>0.7</w:t>
            </w:r>
          </w:p>
        </w:tc>
      </w:tr>
      <w:tr w:rsidR="00CA6A90" w:rsidTr="005E455D">
        <w:tc>
          <w:tcPr>
            <w:tcW w:w="2830" w:type="dxa"/>
          </w:tcPr>
          <w:p w:rsidR="005E455D" w:rsidRPr="00EA594A" w:rsidRDefault="005E455D" w:rsidP="005E455D">
            <w:pPr>
              <w:jc w:val="both"/>
              <w:rPr>
                <w:sz w:val="22"/>
                <w:szCs w:val="22"/>
              </w:rPr>
            </w:pPr>
            <w:r w:rsidRPr="00EA594A">
              <w:rPr>
                <w:sz w:val="22"/>
                <w:szCs w:val="22"/>
              </w:rPr>
              <w:t>March 2017</w:t>
            </w:r>
          </w:p>
        </w:tc>
        <w:tc>
          <w:tcPr>
            <w:tcW w:w="1985" w:type="dxa"/>
          </w:tcPr>
          <w:p w:rsidR="005E455D" w:rsidRPr="00EA594A" w:rsidRDefault="005E455D" w:rsidP="005E455D">
            <w:pPr>
              <w:jc w:val="center"/>
              <w:rPr>
                <w:sz w:val="22"/>
                <w:szCs w:val="22"/>
              </w:rPr>
            </w:pPr>
            <w:r w:rsidRPr="00EA594A">
              <w:rPr>
                <w:sz w:val="22"/>
                <w:szCs w:val="22"/>
              </w:rPr>
              <w:t>0.2</w:t>
            </w:r>
          </w:p>
        </w:tc>
      </w:tr>
    </w:tbl>
    <w:p w:rsidR="005E455D" w:rsidRDefault="005E455D" w:rsidP="005E455D">
      <w:pPr>
        <w:jc w:val="both"/>
        <w:rPr>
          <w:szCs w:val="24"/>
        </w:rPr>
      </w:pPr>
    </w:p>
    <w:p w:rsidR="005E455D" w:rsidRDefault="005E455D" w:rsidP="005E455D">
      <w:pPr>
        <w:jc w:val="both"/>
        <w:rPr>
          <w:szCs w:val="24"/>
        </w:rPr>
      </w:pPr>
      <w:r>
        <w:rPr>
          <w:szCs w:val="24"/>
        </w:rPr>
        <w:t xml:space="preserve">Inflation remained low in the first half of 2016 but there has been signs of this increasing towards the end of the year with inflation as measured by RPIH being at </w:t>
      </w:r>
      <w:r w:rsidRPr="00D8777A">
        <w:rPr>
          <w:szCs w:val="24"/>
        </w:rPr>
        <w:t>2.3%</w:t>
      </w:r>
      <w:r>
        <w:rPr>
          <w:szCs w:val="24"/>
        </w:rPr>
        <w:t xml:space="preserve"> at March 2017. However, since the referendum vote the value of sterling has fallen and this is a significant factor behind the increase in inflation. The unemployment rate dropped to 4.7% in February</w:t>
      </w:r>
      <w:r w:rsidR="00CB6BB9">
        <w:rPr>
          <w:szCs w:val="24"/>
        </w:rPr>
        <w:t>,</w:t>
      </w:r>
      <w:r>
        <w:rPr>
          <w:szCs w:val="24"/>
        </w:rPr>
        <w:t xml:space="preserve"> its lowest level in 11 years.</w:t>
      </w:r>
    </w:p>
    <w:p w:rsidR="005E455D" w:rsidRDefault="005E455D" w:rsidP="005E455D">
      <w:pPr>
        <w:jc w:val="both"/>
        <w:rPr>
          <w:szCs w:val="24"/>
        </w:rPr>
      </w:pPr>
    </w:p>
    <w:p w:rsidR="005E455D" w:rsidRDefault="005E455D" w:rsidP="005E455D">
      <w:pPr>
        <w:jc w:val="both"/>
        <w:rPr>
          <w:szCs w:val="24"/>
        </w:rPr>
      </w:pPr>
      <w:r>
        <w:rPr>
          <w:szCs w:val="24"/>
        </w:rPr>
        <w:t xml:space="preserve">The year has seen significant volatility in the financial markets as a result of both the UK vote to leave the European Union and Donald Trump being elected as President of the USA. As a consequence of the uncertainty Gilt yields fell, </w:t>
      </w:r>
      <w:r w:rsidRPr="0016695A">
        <w:rPr>
          <w:szCs w:val="24"/>
        </w:rPr>
        <w:t xml:space="preserve">Fitch and Standard &amp; Poor’s downgraded the UK’s sovereign rating to AA </w:t>
      </w:r>
      <w:r>
        <w:rPr>
          <w:szCs w:val="24"/>
        </w:rPr>
        <w:t>and the value of sterling fell. The impact of the negotiations to leave the European Union will be a source of on-going uncertainty.</w:t>
      </w:r>
    </w:p>
    <w:p w:rsidR="005E455D" w:rsidRDefault="005E455D" w:rsidP="005E455D">
      <w:pPr>
        <w:jc w:val="both"/>
        <w:rPr>
          <w:szCs w:val="24"/>
        </w:rPr>
      </w:pPr>
    </w:p>
    <w:p w:rsidR="005E455D" w:rsidRDefault="005E455D" w:rsidP="005E455D">
      <w:pPr>
        <w:jc w:val="both"/>
        <w:rPr>
          <w:b/>
          <w:szCs w:val="24"/>
          <w:highlight w:val="yellow"/>
        </w:rPr>
      </w:pPr>
      <w:r w:rsidRPr="00306439">
        <w:rPr>
          <w:b/>
          <w:szCs w:val="24"/>
        </w:rPr>
        <w:t>Interest Rate Environment</w:t>
      </w:r>
    </w:p>
    <w:p w:rsidR="005E455D" w:rsidRDefault="005E455D" w:rsidP="005E455D">
      <w:pPr>
        <w:jc w:val="both"/>
        <w:rPr>
          <w:b/>
          <w:szCs w:val="24"/>
          <w:highlight w:val="yellow"/>
        </w:rPr>
      </w:pPr>
    </w:p>
    <w:p w:rsidR="005E455D" w:rsidRPr="000F6DF0" w:rsidRDefault="005E455D" w:rsidP="005E455D">
      <w:pPr>
        <w:jc w:val="both"/>
        <w:rPr>
          <w:szCs w:val="24"/>
          <w:highlight w:val="yellow"/>
        </w:rPr>
      </w:pPr>
      <w:r w:rsidRPr="00306439">
        <w:rPr>
          <w:szCs w:val="24"/>
        </w:rPr>
        <w:t>Short term interest rates continue to be at historically very low levels. As referred to above in response to a potential reduction in economic growth the Bank of England reduced the base rate from 0.5% to 0.25% in August 2016</w:t>
      </w:r>
      <w:r>
        <w:rPr>
          <w:szCs w:val="24"/>
        </w:rPr>
        <w:t>,</w:t>
      </w:r>
      <w:r w:rsidRPr="00306439">
        <w:rPr>
          <w:szCs w:val="24"/>
        </w:rPr>
        <w:t xml:space="preserve"> a level it remained at throughout the </w:t>
      </w:r>
      <w:r>
        <w:rPr>
          <w:szCs w:val="24"/>
        </w:rPr>
        <w:t>rest of the year</w:t>
      </w:r>
      <w:r w:rsidRPr="00306439">
        <w:rPr>
          <w:szCs w:val="24"/>
        </w:rPr>
        <w:t xml:space="preserve">. The expectation </w:t>
      </w:r>
      <w:r>
        <w:rPr>
          <w:szCs w:val="24"/>
        </w:rPr>
        <w:t>during the year was</w:t>
      </w:r>
      <w:r w:rsidRPr="00306439">
        <w:rPr>
          <w:szCs w:val="24"/>
        </w:rPr>
        <w:t xml:space="preserve"> that interest rates </w:t>
      </w:r>
      <w:r w:rsidRPr="00306439">
        <w:rPr>
          <w:szCs w:val="24"/>
        </w:rPr>
        <w:lastRenderedPageBreak/>
        <w:t>w</w:t>
      </w:r>
      <w:r>
        <w:rPr>
          <w:szCs w:val="24"/>
        </w:rPr>
        <w:t>ould</w:t>
      </w:r>
      <w:r w:rsidRPr="00306439">
        <w:rPr>
          <w:szCs w:val="24"/>
        </w:rPr>
        <w:t xml:space="preserve"> remain low for the rest of the financial year and beyond.</w:t>
      </w:r>
      <w:r>
        <w:rPr>
          <w:szCs w:val="24"/>
        </w:rPr>
        <w:t xml:space="preserve"> This is still the case with the </w:t>
      </w:r>
      <w:r w:rsidRPr="00306439">
        <w:rPr>
          <w:szCs w:val="24"/>
        </w:rPr>
        <w:t>Council's Treasury Management advis</w:t>
      </w:r>
      <w:r>
        <w:rPr>
          <w:szCs w:val="24"/>
        </w:rPr>
        <w:t>e</w:t>
      </w:r>
      <w:r w:rsidRPr="00306439">
        <w:rPr>
          <w:szCs w:val="24"/>
        </w:rPr>
        <w:t>rs,</w:t>
      </w:r>
      <w:r>
        <w:rPr>
          <w:szCs w:val="24"/>
        </w:rPr>
        <w:t xml:space="preserve"> </w:t>
      </w:r>
      <w:proofErr w:type="spellStart"/>
      <w:r w:rsidRPr="00306439">
        <w:rPr>
          <w:szCs w:val="24"/>
        </w:rPr>
        <w:t>Arlingclose</w:t>
      </w:r>
      <w:proofErr w:type="spellEnd"/>
      <w:r>
        <w:rPr>
          <w:szCs w:val="24"/>
        </w:rPr>
        <w:t>, not forecasting an increase to June 2020.</w:t>
      </w:r>
    </w:p>
    <w:p w:rsidR="005E455D" w:rsidRPr="000F6DF0" w:rsidRDefault="005E455D">
      <w:pPr>
        <w:rPr>
          <w:szCs w:val="24"/>
          <w:highlight w:val="yellow"/>
        </w:rPr>
      </w:pPr>
    </w:p>
    <w:p w:rsidR="005E455D" w:rsidRPr="00281F0C" w:rsidRDefault="005E455D" w:rsidP="005E455D">
      <w:pPr>
        <w:jc w:val="both"/>
        <w:rPr>
          <w:b/>
        </w:rPr>
      </w:pPr>
      <w:r w:rsidRPr="00281F0C">
        <w:rPr>
          <w:b/>
        </w:rPr>
        <w:t>Treasury Management Strategy 2016/17</w:t>
      </w:r>
    </w:p>
    <w:p w:rsidR="005E455D" w:rsidRPr="004612E9" w:rsidRDefault="005E455D" w:rsidP="005E455D">
      <w:pPr>
        <w:jc w:val="both"/>
        <w:rPr>
          <w:b/>
        </w:rPr>
      </w:pPr>
    </w:p>
    <w:p w:rsidR="005E455D" w:rsidRPr="004612E9" w:rsidRDefault="005E455D" w:rsidP="005E455D">
      <w:pPr>
        <w:jc w:val="both"/>
        <w:rPr>
          <w:szCs w:val="24"/>
          <w:lang w:eastAsia="en-US"/>
        </w:rPr>
      </w:pPr>
      <w:r w:rsidRPr="004612E9">
        <w:rPr>
          <w:szCs w:val="24"/>
        </w:rPr>
        <w:t>The Treasury Management activity is undertaken in accordance with the Treasury Management Strategy. Full Council approved the 2016/17 Treasury Management Strategy at its meeting</w:t>
      </w:r>
      <w:r w:rsidRPr="004612E9">
        <w:rPr>
          <w:szCs w:val="24"/>
          <w:lang w:eastAsia="en-US"/>
        </w:rPr>
        <w:t xml:space="preserve"> on 11 February 201</w:t>
      </w:r>
      <w:r>
        <w:rPr>
          <w:szCs w:val="24"/>
          <w:lang w:eastAsia="en-US"/>
        </w:rPr>
        <w:t>6</w:t>
      </w:r>
      <w:r w:rsidRPr="004612E9">
        <w:rPr>
          <w:szCs w:val="24"/>
          <w:lang w:eastAsia="en-US"/>
        </w:rPr>
        <w:t>. The Council’s stated investment priorities were:</w:t>
      </w:r>
    </w:p>
    <w:p w:rsidR="005E455D" w:rsidRPr="004612E9" w:rsidRDefault="005E455D" w:rsidP="005E455D">
      <w:pPr>
        <w:spacing w:before="45" w:after="45"/>
        <w:ind w:left="720" w:firstLine="720"/>
        <w:jc w:val="both"/>
        <w:rPr>
          <w:rFonts w:cs="Arial"/>
          <w:szCs w:val="24"/>
        </w:rPr>
      </w:pPr>
      <w:r w:rsidRPr="004612E9">
        <w:rPr>
          <w:rFonts w:cs="Arial"/>
          <w:szCs w:val="24"/>
        </w:rPr>
        <w:t>(a)</w:t>
      </w:r>
      <w:r w:rsidRPr="004612E9">
        <w:rPr>
          <w:rFonts w:cs="Arial"/>
          <w:szCs w:val="24"/>
        </w:rPr>
        <w:tab/>
        <w:t xml:space="preserve">Security of capital and </w:t>
      </w:r>
    </w:p>
    <w:p w:rsidR="005E455D" w:rsidRPr="004612E9" w:rsidRDefault="005E455D" w:rsidP="005E455D">
      <w:pPr>
        <w:spacing w:before="45" w:after="45"/>
        <w:ind w:left="720" w:firstLine="720"/>
        <w:jc w:val="both"/>
        <w:rPr>
          <w:rFonts w:cs="Arial"/>
          <w:szCs w:val="24"/>
        </w:rPr>
      </w:pPr>
      <w:r w:rsidRPr="004612E9">
        <w:rPr>
          <w:rFonts w:cs="Arial"/>
          <w:szCs w:val="24"/>
        </w:rPr>
        <w:t>(b)</w:t>
      </w:r>
      <w:r w:rsidRPr="004612E9">
        <w:rPr>
          <w:rFonts w:cs="Arial"/>
          <w:szCs w:val="24"/>
        </w:rPr>
        <w:tab/>
        <w:t xml:space="preserve">Liquidity of investments </w:t>
      </w:r>
    </w:p>
    <w:p w:rsidR="005E455D" w:rsidRPr="000F6DF0" w:rsidRDefault="005E455D" w:rsidP="005E455D">
      <w:pPr>
        <w:jc w:val="both"/>
        <w:rPr>
          <w:rFonts w:cs="Arial"/>
          <w:szCs w:val="24"/>
          <w:highlight w:val="yellow"/>
        </w:rPr>
      </w:pPr>
    </w:p>
    <w:p w:rsidR="005E455D" w:rsidRDefault="005E455D" w:rsidP="005E455D">
      <w:pPr>
        <w:pStyle w:val="ListParagraph"/>
        <w:autoSpaceDE w:val="0"/>
        <w:autoSpaceDN w:val="0"/>
        <w:ind w:left="0"/>
        <w:jc w:val="both"/>
        <w:rPr>
          <w:szCs w:val="24"/>
          <w:lang w:eastAsia="en-US"/>
        </w:rPr>
      </w:pPr>
      <w:r w:rsidRPr="00331412">
        <w:rPr>
          <w:rFonts w:cs="Arial"/>
          <w:szCs w:val="24"/>
        </w:rPr>
        <w:t xml:space="preserve">The </w:t>
      </w:r>
      <w:r w:rsidRPr="00331412">
        <w:rPr>
          <w:szCs w:val="24"/>
        </w:rPr>
        <w:t>Council policy, which has been in place for a number of years, is  a deliberate "low credit risk" investment policy, using bonds issued by governments, government agencies, government guaranteed bodies, supranational bodies and covered or collateralized corporate bonds. The County Council's po</w:t>
      </w:r>
      <w:r>
        <w:rPr>
          <w:szCs w:val="24"/>
        </w:rPr>
        <w:t>licy</w:t>
      </w:r>
      <w:r w:rsidRPr="00331412">
        <w:rPr>
          <w:szCs w:val="24"/>
        </w:rPr>
        <w:t xml:space="preserve"> is not to invest in banks, other than call accounts and therefore it is substantially insulated from the effects of an individual or systemic banking "credit event". </w:t>
      </w:r>
      <w:r w:rsidRPr="00331412">
        <w:rPr>
          <w:szCs w:val="24"/>
          <w:lang w:eastAsia="en-US"/>
        </w:rPr>
        <w:t xml:space="preserve">This control of credit risk was a key driver in the </w:t>
      </w:r>
      <w:r>
        <w:rPr>
          <w:szCs w:val="24"/>
          <w:lang w:eastAsia="en-US"/>
        </w:rPr>
        <w:t>investment</w:t>
      </w:r>
      <w:r w:rsidRPr="00331412">
        <w:rPr>
          <w:szCs w:val="24"/>
          <w:lang w:eastAsia="en-US"/>
        </w:rPr>
        <w:t xml:space="preserve"> activity in 2016/17.</w:t>
      </w:r>
      <w:r>
        <w:rPr>
          <w:szCs w:val="24"/>
          <w:lang w:eastAsia="en-US"/>
        </w:rPr>
        <w:t xml:space="preserve"> However, with the predicted reduction in reserves moves were made to reduce long term investment holdings to reduce market risk.</w:t>
      </w:r>
    </w:p>
    <w:p w:rsidR="005E455D" w:rsidRDefault="005E455D" w:rsidP="005E455D">
      <w:pPr>
        <w:jc w:val="both"/>
        <w:rPr>
          <w:rFonts w:cs="Arial"/>
          <w:szCs w:val="24"/>
        </w:rPr>
      </w:pPr>
      <w:r>
        <w:rPr>
          <w:rFonts w:cs="Arial"/>
          <w:szCs w:val="24"/>
        </w:rPr>
        <w:t xml:space="preserve"> </w:t>
      </w:r>
    </w:p>
    <w:p w:rsidR="005E455D" w:rsidRDefault="005E455D" w:rsidP="005E455D">
      <w:pPr>
        <w:autoSpaceDE w:val="0"/>
        <w:autoSpaceDN w:val="0"/>
        <w:adjustRightInd w:val="0"/>
        <w:jc w:val="both"/>
        <w:rPr>
          <w:rFonts w:cs="Arial"/>
          <w:szCs w:val="24"/>
        </w:rPr>
      </w:pPr>
      <w:r>
        <w:rPr>
          <w:rFonts w:ascii="ArialMT" w:hAnsi="ArialMT" w:cs="ArialMT"/>
          <w:szCs w:val="24"/>
        </w:rPr>
        <w:t>The Council will also aim to achieve the optimum return on its investments commensurate with proper levels of security and liquidity. The risk appetite of the Council is low in order to give priority to security of its investments.</w:t>
      </w:r>
    </w:p>
    <w:p w:rsidR="005E455D" w:rsidRPr="00B8625A" w:rsidRDefault="005E455D" w:rsidP="005E455D">
      <w:pPr>
        <w:jc w:val="both"/>
        <w:rPr>
          <w:szCs w:val="24"/>
          <w:lang w:eastAsia="en-US"/>
        </w:rPr>
      </w:pPr>
    </w:p>
    <w:p w:rsidR="005E455D" w:rsidRPr="00B8625A" w:rsidRDefault="005E455D" w:rsidP="005E455D">
      <w:pPr>
        <w:jc w:val="both"/>
        <w:rPr>
          <w:szCs w:val="24"/>
          <w:lang w:eastAsia="en-US"/>
        </w:rPr>
      </w:pPr>
      <w:r w:rsidRPr="00B8625A">
        <w:rPr>
          <w:szCs w:val="24"/>
          <w:lang w:eastAsia="en-US"/>
        </w:rPr>
        <w:t>The Council’s stated borrowing strategy was to take advantage of historically low short term interest rates by borrowing short term in the money markets rather than financing capital expenditure through long term Public Works Loan Board (PWLB)</w:t>
      </w:r>
      <w:r w:rsidRPr="00B8625A">
        <w:rPr>
          <w:color w:val="FF0000"/>
          <w:szCs w:val="24"/>
          <w:lang w:eastAsia="en-US"/>
        </w:rPr>
        <w:t xml:space="preserve"> </w:t>
      </w:r>
      <w:r w:rsidRPr="00B8625A">
        <w:rPr>
          <w:szCs w:val="24"/>
          <w:lang w:eastAsia="en-US"/>
        </w:rPr>
        <w:t>loans. Since this strategy was first implemented in 2010/11 the Council has taken advantage of low interest rates to reduce the cost of financing current and former years' capital programmes. This strategy continued to be implemented in 2016/17 and will continue to be the most cost effective financing method until there is a significant increase in interest rates.</w:t>
      </w:r>
    </w:p>
    <w:p w:rsidR="005E455D" w:rsidRPr="00B8625A" w:rsidRDefault="005E455D" w:rsidP="005E455D">
      <w:pPr>
        <w:jc w:val="both"/>
        <w:rPr>
          <w:szCs w:val="24"/>
        </w:rPr>
      </w:pPr>
    </w:p>
    <w:p w:rsidR="005E455D" w:rsidRPr="00B8625A" w:rsidRDefault="005E455D" w:rsidP="005E455D">
      <w:pPr>
        <w:jc w:val="both"/>
        <w:rPr>
          <w:szCs w:val="24"/>
        </w:rPr>
      </w:pPr>
      <w:r w:rsidRPr="00B8625A">
        <w:rPr>
          <w:szCs w:val="24"/>
        </w:rPr>
        <w:t>The Director of Financ</w:t>
      </w:r>
      <w:r>
        <w:rPr>
          <w:szCs w:val="24"/>
        </w:rPr>
        <w:t>ial Resources</w:t>
      </w:r>
      <w:r w:rsidRPr="00B8625A">
        <w:rPr>
          <w:szCs w:val="24"/>
        </w:rPr>
        <w:t xml:space="preserve"> can report that all Treasury Management activity undertaken during the financial year complied with the </w:t>
      </w:r>
      <w:r w:rsidRPr="00B8625A">
        <w:rPr>
          <w:i/>
          <w:szCs w:val="24"/>
        </w:rPr>
        <w:t>CIPFA Code of Practice</w:t>
      </w:r>
      <w:r w:rsidRPr="00B8625A">
        <w:rPr>
          <w:szCs w:val="24"/>
        </w:rPr>
        <w:t xml:space="preserve"> and the relevant legislative provisions.  </w:t>
      </w:r>
    </w:p>
    <w:p w:rsidR="005E455D" w:rsidRDefault="005E455D" w:rsidP="005E455D">
      <w:pPr>
        <w:jc w:val="both"/>
        <w:rPr>
          <w:szCs w:val="24"/>
          <w:highlight w:val="yellow"/>
        </w:rPr>
      </w:pPr>
    </w:p>
    <w:p w:rsidR="005E455D" w:rsidRDefault="005E455D" w:rsidP="005E455D">
      <w:pPr>
        <w:jc w:val="both"/>
        <w:rPr>
          <w:szCs w:val="24"/>
          <w:highlight w:val="yellow"/>
        </w:rPr>
      </w:pPr>
    </w:p>
    <w:p w:rsidR="005E455D" w:rsidRDefault="005E455D" w:rsidP="005E455D">
      <w:pPr>
        <w:jc w:val="both"/>
        <w:rPr>
          <w:szCs w:val="24"/>
          <w:highlight w:val="yellow"/>
        </w:rPr>
      </w:pPr>
    </w:p>
    <w:p w:rsidR="005E455D" w:rsidRDefault="005E455D" w:rsidP="005E455D">
      <w:pPr>
        <w:jc w:val="both"/>
        <w:rPr>
          <w:szCs w:val="24"/>
          <w:highlight w:val="yellow"/>
        </w:rPr>
      </w:pPr>
    </w:p>
    <w:p w:rsidR="005E455D" w:rsidRDefault="005E455D" w:rsidP="005E455D">
      <w:pPr>
        <w:jc w:val="both"/>
        <w:rPr>
          <w:szCs w:val="24"/>
          <w:highlight w:val="yellow"/>
        </w:rPr>
      </w:pPr>
    </w:p>
    <w:p w:rsidR="005E455D" w:rsidRDefault="005E455D" w:rsidP="005E455D">
      <w:pPr>
        <w:jc w:val="both"/>
        <w:rPr>
          <w:szCs w:val="24"/>
          <w:highlight w:val="yellow"/>
        </w:rPr>
      </w:pPr>
    </w:p>
    <w:p w:rsidR="005E455D" w:rsidRDefault="005E455D" w:rsidP="005E455D">
      <w:pPr>
        <w:jc w:val="both"/>
        <w:rPr>
          <w:szCs w:val="24"/>
          <w:highlight w:val="yellow"/>
        </w:rPr>
      </w:pPr>
    </w:p>
    <w:p w:rsidR="005E455D" w:rsidRDefault="005E455D" w:rsidP="005E455D">
      <w:pPr>
        <w:jc w:val="both"/>
        <w:rPr>
          <w:szCs w:val="24"/>
          <w:highlight w:val="yellow"/>
        </w:rPr>
      </w:pPr>
    </w:p>
    <w:p w:rsidR="005E455D" w:rsidRDefault="005E455D" w:rsidP="005E455D">
      <w:pPr>
        <w:jc w:val="both"/>
        <w:rPr>
          <w:szCs w:val="24"/>
          <w:highlight w:val="yellow"/>
        </w:rPr>
      </w:pPr>
    </w:p>
    <w:p w:rsidR="005E455D" w:rsidRDefault="005E455D" w:rsidP="005E455D">
      <w:pPr>
        <w:jc w:val="both"/>
        <w:rPr>
          <w:szCs w:val="24"/>
          <w:highlight w:val="yellow"/>
        </w:rPr>
      </w:pPr>
    </w:p>
    <w:p w:rsidR="005E455D" w:rsidRPr="000F6DF0" w:rsidRDefault="005E455D" w:rsidP="005E455D">
      <w:pPr>
        <w:jc w:val="both"/>
        <w:rPr>
          <w:szCs w:val="24"/>
          <w:highlight w:val="yellow"/>
        </w:rPr>
      </w:pPr>
    </w:p>
    <w:p w:rsidR="005E455D" w:rsidRPr="00281F0C" w:rsidRDefault="005E455D" w:rsidP="005E455D">
      <w:pPr>
        <w:jc w:val="both"/>
        <w:rPr>
          <w:b/>
        </w:rPr>
      </w:pPr>
      <w:r w:rsidRPr="00281F0C">
        <w:rPr>
          <w:b/>
        </w:rPr>
        <w:lastRenderedPageBreak/>
        <w:t>Treasury Management Activities in 2016/17</w:t>
      </w:r>
    </w:p>
    <w:p w:rsidR="005E455D" w:rsidRDefault="005E455D" w:rsidP="005E455D">
      <w:pPr>
        <w:jc w:val="both"/>
        <w:rPr>
          <w:b/>
          <w:highlight w:val="yellow"/>
        </w:rPr>
      </w:pPr>
    </w:p>
    <w:p w:rsidR="005E455D" w:rsidRDefault="005E455D" w:rsidP="005E455D">
      <w:pPr>
        <w:jc w:val="both"/>
      </w:pPr>
      <w:r w:rsidRPr="00BB224B">
        <w:t xml:space="preserve">In summary the holdings </w:t>
      </w:r>
      <w:r>
        <w:t>were:</w:t>
      </w:r>
    </w:p>
    <w:p w:rsidR="005E455D" w:rsidRDefault="005E455D" w:rsidP="005E455D">
      <w:pPr>
        <w:jc w:val="both"/>
      </w:pPr>
    </w:p>
    <w:tbl>
      <w:tblPr>
        <w:tblStyle w:val="TableGrid"/>
        <w:tblW w:w="0" w:type="auto"/>
        <w:tblLook w:val="04A0" w:firstRow="1" w:lastRow="0" w:firstColumn="1" w:lastColumn="0" w:noHBand="0" w:noVBand="1"/>
      </w:tblPr>
      <w:tblGrid>
        <w:gridCol w:w="3005"/>
        <w:gridCol w:w="995"/>
        <w:gridCol w:w="995"/>
      </w:tblGrid>
      <w:tr w:rsidR="00CA6A90" w:rsidTr="005E455D">
        <w:tc>
          <w:tcPr>
            <w:tcW w:w="3005" w:type="dxa"/>
            <w:shd w:val="clear" w:color="auto" w:fill="DBE5F1" w:themeFill="accent1" w:themeFillTint="33"/>
          </w:tcPr>
          <w:p w:rsidR="005E455D" w:rsidRPr="00EA594A" w:rsidRDefault="005E455D" w:rsidP="005E455D">
            <w:pPr>
              <w:jc w:val="both"/>
              <w:rPr>
                <w:sz w:val="22"/>
                <w:szCs w:val="22"/>
              </w:rPr>
            </w:pPr>
          </w:p>
        </w:tc>
        <w:tc>
          <w:tcPr>
            <w:tcW w:w="995" w:type="dxa"/>
            <w:shd w:val="clear" w:color="auto" w:fill="DBE5F1" w:themeFill="accent1" w:themeFillTint="33"/>
          </w:tcPr>
          <w:p w:rsidR="005E455D" w:rsidRPr="00EA594A" w:rsidRDefault="005E455D" w:rsidP="005E455D">
            <w:pPr>
              <w:jc w:val="right"/>
              <w:rPr>
                <w:b/>
                <w:sz w:val="22"/>
                <w:szCs w:val="22"/>
              </w:rPr>
            </w:pPr>
            <w:r w:rsidRPr="00EA594A">
              <w:rPr>
                <w:b/>
                <w:sz w:val="22"/>
                <w:szCs w:val="22"/>
              </w:rPr>
              <w:t>31/3/17</w:t>
            </w:r>
          </w:p>
        </w:tc>
        <w:tc>
          <w:tcPr>
            <w:tcW w:w="995" w:type="dxa"/>
            <w:shd w:val="clear" w:color="auto" w:fill="DBE5F1" w:themeFill="accent1" w:themeFillTint="33"/>
          </w:tcPr>
          <w:p w:rsidR="005E455D" w:rsidRPr="00EA594A" w:rsidRDefault="005E455D" w:rsidP="005E455D">
            <w:pPr>
              <w:jc w:val="right"/>
              <w:rPr>
                <w:b/>
                <w:sz w:val="22"/>
                <w:szCs w:val="22"/>
              </w:rPr>
            </w:pPr>
            <w:r w:rsidRPr="00EA594A">
              <w:rPr>
                <w:b/>
                <w:sz w:val="22"/>
                <w:szCs w:val="22"/>
              </w:rPr>
              <w:t>31/3/16</w:t>
            </w:r>
          </w:p>
        </w:tc>
      </w:tr>
      <w:tr w:rsidR="00CA6A90" w:rsidTr="005E455D">
        <w:tc>
          <w:tcPr>
            <w:tcW w:w="3005" w:type="dxa"/>
          </w:tcPr>
          <w:p w:rsidR="005E455D" w:rsidRPr="00EA594A" w:rsidRDefault="005E455D" w:rsidP="005E455D">
            <w:pPr>
              <w:jc w:val="both"/>
              <w:rPr>
                <w:sz w:val="22"/>
                <w:szCs w:val="22"/>
              </w:rPr>
            </w:pPr>
          </w:p>
        </w:tc>
        <w:tc>
          <w:tcPr>
            <w:tcW w:w="995" w:type="dxa"/>
          </w:tcPr>
          <w:p w:rsidR="005E455D" w:rsidRPr="00EA594A" w:rsidRDefault="005E455D" w:rsidP="005E455D">
            <w:pPr>
              <w:jc w:val="right"/>
              <w:rPr>
                <w:b/>
                <w:sz w:val="22"/>
                <w:szCs w:val="22"/>
              </w:rPr>
            </w:pPr>
            <w:r w:rsidRPr="00EA594A">
              <w:rPr>
                <w:b/>
                <w:sz w:val="22"/>
                <w:szCs w:val="22"/>
              </w:rPr>
              <w:t>£m</w:t>
            </w:r>
          </w:p>
        </w:tc>
        <w:tc>
          <w:tcPr>
            <w:tcW w:w="995" w:type="dxa"/>
          </w:tcPr>
          <w:p w:rsidR="005E455D" w:rsidRPr="00EA594A" w:rsidRDefault="005E455D" w:rsidP="005E455D">
            <w:pPr>
              <w:jc w:val="right"/>
              <w:rPr>
                <w:b/>
                <w:sz w:val="22"/>
                <w:szCs w:val="22"/>
              </w:rPr>
            </w:pPr>
            <w:r w:rsidRPr="00EA594A">
              <w:rPr>
                <w:b/>
                <w:sz w:val="22"/>
                <w:szCs w:val="22"/>
              </w:rPr>
              <w:t>£m</w:t>
            </w:r>
          </w:p>
        </w:tc>
      </w:tr>
      <w:tr w:rsidR="00CA6A90" w:rsidTr="005E455D">
        <w:tc>
          <w:tcPr>
            <w:tcW w:w="3005" w:type="dxa"/>
          </w:tcPr>
          <w:p w:rsidR="005E455D" w:rsidRPr="00EA594A" w:rsidRDefault="005E455D" w:rsidP="005E455D">
            <w:pPr>
              <w:jc w:val="both"/>
              <w:rPr>
                <w:sz w:val="22"/>
                <w:szCs w:val="22"/>
              </w:rPr>
            </w:pPr>
          </w:p>
        </w:tc>
        <w:tc>
          <w:tcPr>
            <w:tcW w:w="995" w:type="dxa"/>
          </w:tcPr>
          <w:p w:rsidR="005E455D" w:rsidRPr="00EA594A" w:rsidRDefault="005E455D" w:rsidP="005E455D">
            <w:pPr>
              <w:jc w:val="right"/>
              <w:rPr>
                <w:sz w:val="22"/>
                <w:szCs w:val="22"/>
              </w:rPr>
            </w:pPr>
          </w:p>
        </w:tc>
        <w:tc>
          <w:tcPr>
            <w:tcW w:w="995" w:type="dxa"/>
          </w:tcPr>
          <w:p w:rsidR="005E455D" w:rsidRPr="00EA594A" w:rsidRDefault="005E455D" w:rsidP="005E455D">
            <w:pPr>
              <w:jc w:val="right"/>
              <w:rPr>
                <w:sz w:val="22"/>
                <w:szCs w:val="22"/>
              </w:rPr>
            </w:pPr>
          </w:p>
        </w:tc>
      </w:tr>
      <w:tr w:rsidR="00CA6A90" w:rsidTr="005E455D">
        <w:tc>
          <w:tcPr>
            <w:tcW w:w="3005" w:type="dxa"/>
          </w:tcPr>
          <w:p w:rsidR="005E455D" w:rsidRPr="00EA594A" w:rsidRDefault="005E455D" w:rsidP="005E455D">
            <w:pPr>
              <w:jc w:val="both"/>
              <w:rPr>
                <w:sz w:val="22"/>
                <w:szCs w:val="22"/>
              </w:rPr>
            </w:pPr>
            <w:r w:rsidRPr="00EA594A">
              <w:rPr>
                <w:sz w:val="22"/>
                <w:szCs w:val="22"/>
              </w:rPr>
              <w:t>Long term borrowing</w:t>
            </w:r>
          </w:p>
        </w:tc>
        <w:tc>
          <w:tcPr>
            <w:tcW w:w="995" w:type="dxa"/>
          </w:tcPr>
          <w:p w:rsidR="005E455D" w:rsidRPr="00EA594A" w:rsidRDefault="005E455D" w:rsidP="005E455D">
            <w:pPr>
              <w:jc w:val="right"/>
              <w:rPr>
                <w:sz w:val="22"/>
                <w:szCs w:val="22"/>
              </w:rPr>
            </w:pPr>
            <w:r w:rsidRPr="00EA594A">
              <w:rPr>
                <w:sz w:val="22"/>
                <w:szCs w:val="22"/>
              </w:rPr>
              <w:t>582.4</w:t>
            </w:r>
          </w:p>
        </w:tc>
        <w:tc>
          <w:tcPr>
            <w:tcW w:w="995" w:type="dxa"/>
          </w:tcPr>
          <w:p w:rsidR="005E455D" w:rsidRPr="00EA594A" w:rsidRDefault="005E455D" w:rsidP="005E455D">
            <w:pPr>
              <w:jc w:val="right"/>
              <w:rPr>
                <w:sz w:val="22"/>
                <w:szCs w:val="22"/>
              </w:rPr>
            </w:pPr>
            <w:r w:rsidRPr="00EA594A">
              <w:rPr>
                <w:sz w:val="22"/>
                <w:szCs w:val="22"/>
              </w:rPr>
              <w:t>581.4</w:t>
            </w:r>
          </w:p>
        </w:tc>
      </w:tr>
      <w:tr w:rsidR="00CA6A90" w:rsidTr="005E455D">
        <w:tc>
          <w:tcPr>
            <w:tcW w:w="3005" w:type="dxa"/>
          </w:tcPr>
          <w:p w:rsidR="005E455D" w:rsidRPr="00EA594A" w:rsidRDefault="005E455D" w:rsidP="005E455D">
            <w:pPr>
              <w:jc w:val="both"/>
              <w:rPr>
                <w:sz w:val="22"/>
                <w:szCs w:val="22"/>
              </w:rPr>
            </w:pPr>
            <w:r w:rsidRPr="00EA594A">
              <w:rPr>
                <w:sz w:val="22"/>
                <w:szCs w:val="22"/>
              </w:rPr>
              <w:t>Short term borrowing</w:t>
            </w:r>
          </w:p>
        </w:tc>
        <w:tc>
          <w:tcPr>
            <w:tcW w:w="995" w:type="dxa"/>
          </w:tcPr>
          <w:p w:rsidR="005E455D" w:rsidRPr="00EA594A" w:rsidRDefault="005E455D" w:rsidP="005E455D">
            <w:pPr>
              <w:jc w:val="right"/>
              <w:rPr>
                <w:sz w:val="22"/>
                <w:szCs w:val="22"/>
              </w:rPr>
            </w:pPr>
            <w:r w:rsidRPr="00EA594A">
              <w:rPr>
                <w:sz w:val="22"/>
                <w:szCs w:val="22"/>
              </w:rPr>
              <w:t>457.3</w:t>
            </w:r>
          </w:p>
        </w:tc>
        <w:tc>
          <w:tcPr>
            <w:tcW w:w="995" w:type="dxa"/>
          </w:tcPr>
          <w:p w:rsidR="005E455D" w:rsidRPr="00EA594A" w:rsidRDefault="005E455D" w:rsidP="005E455D">
            <w:pPr>
              <w:jc w:val="right"/>
              <w:rPr>
                <w:sz w:val="22"/>
                <w:szCs w:val="22"/>
              </w:rPr>
            </w:pPr>
            <w:r w:rsidRPr="00EA594A">
              <w:rPr>
                <w:sz w:val="22"/>
                <w:szCs w:val="22"/>
              </w:rPr>
              <w:t>392.2</w:t>
            </w:r>
          </w:p>
        </w:tc>
      </w:tr>
      <w:tr w:rsidR="00CA6A90" w:rsidTr="005E455D">
        <w:tc>
          <w:tcPr>
            <w:tcW w:w="3005" w:type="dxa"/>
            <w:shd w:val="clear" w:color="auto" w:fill="DBE5F1" w:themeFill="accent1" w:themeFillTint="33"/>
          </w:tcPr>
          <w:p w:rsidR="005E455D" w:rsidRPr="00EA594A" w:rsidRDefault="005E455D" w:rsidP="005E455D">
            <w:pPr>
              <w:jc w:val="both"/>
              <w:rPr>
                <w:b/>
                <w:sz w:val="22"/>
                <w:szCs w:val="22"/>
              </w:rPr>
            </w:pPr>
            <w:r w:rsidRPr="00EA594A">
              <w:rPr>
                <w:b/>
                <w:sz w:val="22"/>
                <w:szCs w:val="22"/>
              </w:rPr>
              <w:t xml:space="preserve">Total </w:t>
            </w:r>
            <w:r>
              <w:rPr>
                <w:b/>
                <w:sz w:val="22"/>
                <w:szCs w:val="22"/>
              </w:rPr>
              <w:t>B</w:t>
            </w:r>
            <w:r w:rsidRPr="00EA594A">
              <w:rPr>
                <w:b/>
                <w:sz w:val="22"/>
                <w:szCs w:val="22"/>
              </w:rPr>
              <w:t>orrowing</w:t>
            </w:r>
          </w:p>
        </w:tc>
        <w:tc>
          <w:tcPr>
            <w:tcW w:w="995" w:type="dxa"/>
            <w:shd w:val="clear" w:color="auto" w:fill="DBE5F1" w:themeFill="accent1" w:themeFillTint="33"/>
          </w:tcPr>
          <w:p w:rsidR="005E455D" w:rsidRPr="00EA594A" w:rsidRDefault="005E455D" w:rsidP="005E455D">
            <w:pPr>
              <w:jc w:val="right"/>
              <w:rPr>
                <w:b/>
                <w:sz w:val="22"/>
                <w:szCs w:val="22"/>
              </w:rPr>
            </w:pPr>
            <w:r w:rsidRPr="00EA594A">
              <w:rPr>
                <w:b/>
                <w:sz w:val="22"/>
                <w:szCs w:val="22"/>
              </w:rPr>
              <w:t>1,039.7</w:t>
            </w:r>
          </w:p>
        </w:tc>
        <w:tc>
          <w:tcPr>
            <w:tcW w:w="995" w:type="dxa"/>
            <w:shd w:val="clear" w:color="auto" w:fill="DBE5F1" w:themeFill="accent1" w:themeFillTint="33"/>
          </w:tcPr>
          <w:p w:rsidR="005E455D" w:rsidRPr="00EA594A" w:rsidRDefault="005E455D" w:rsidP="005E455D">
            <w:pPr>
              <w:jc w:val="right"/>
              <w:rPr>
                <w:b/>
                <w:sz w:val="22"/>
                <w:szCs w:val="22"/>
              </w:rPr>
            </w:pPr>
            <w:r w:rsidRPr="00EA594A">
              <w:rPr>
                <w:b/>
                <w:sz w:val="22"/>
                <w:szCs w:val="22"/>
              </w:rPr>
              <w:t>973.6</w:t>
            </w:r>
          </w:p>
        </w:tc>
      </w:tr>
      <w:tr w:rsidR="00CA6A90" w:rsidTr="005E455D">
        <w:tc>
          <w:tcPr>
            <w:tcW w:w="3005" w:type="dxa"/>
          </w:tcPr>
          <w:p w:rsidR="005E455D" w:rsidRPr="00EA594A" w:rsidRDefault="005E455D" w:rsidP="005E455D">
            <w:pPr>
              <w:jc w:val="both"/>
              <w:rPr>
                <w:sz w:val="22"/>
                <w:szCs w:val="22"/>
              </w:rPr>
            </w:pPr>
          </w:p>
        </w:tc>
        <w:tc>
          <w:tcPr>
            <w:tcW w:w="995" w:type="dxa"/>
          </w:tcPr>
          <w:p w:rsidR="005E455D" w:rsidRPr="00EA594A" w:rsidRDefault="005E455D" w:rsidP="005E455D">
            <w:pPr>
              <w:jc w:val="right"/>
              <w:rPr>
                <w:sz w:val="22"/>
                <w:szCs w:val="22"/>
              </w:rPr>
            </w:pPr>
          </w:p>
        </w:tc>
        <w:tc>
          <w:tcPr>
            <w:tcW w:w="995" w:type="dxa"/>
          </w:tcPr>
          <w:p w:rsidR="005E455D" w:rsidRPr="00EA594A" w:rsidRDefault="005E455D" w:rsidP="005E455D">
            <w:pPr>
              <w:jc w:val="right"/>
              <w:rPr>
                <w:sz w:val="22"/>
                <w:szCs w:val="22"/>
              </w:rPr>
            </w:pPr>
          </w:p>
        </w:tc>
      </w:tr>
      <w:tr w:rsidR="00CA6A90" w:rsidTr="005E455D">
        <w:tc>
          <w:tcPr>
            <w:tcW w:w="3005" w:type="dxa"/>
          </w:tcPr>
          <w:p w:rsidR="005E455D" w:rsidRPr="00EA594A" w:rsidRDefault="005E455D" w:rsidP="005E455D">
            <w:pPr>
              <w:jc w:val="both"/>
              <w:rPr>
                <w:sz w:val="22"/>
                <w:szCs w:val="22"/>
              </w:rPr>
            </w:pPr>
            <w:r w:rsidRPr="00EA594A">
              <w:rPr>
                <w:sz w:val="22"/>
                <w:szCs w:val="22"/>
              </w:rPr>
              <w:t>Long term investments</w:t>
            </w:r>
          </w:p>
        </w:tc>
        <w:tc>
          <w:tcPr>
            <w:tcW w:w="995" w:type="dxa"/>
          </w:tcPr>
          <w:p w:rsidR="005E455D" w:rsidRPr="00EA594A" w:rsidRDefault="005E455D" w:rsidP="005E455D">
            <w:pPr>
              <w:jc w:val="right"/>
              <w:rPr>
                <w:sz w:val="22"/>
                <w:szCs w:val="22"/>
              </w:rPr>
            </w:pPr>
            <w:r w:rsidRPr="00EA594A">
              <w:rPr>
                <w:sz w:val="22"/>
                <w:szCs w:val="22"/>
              </w:rPr>
              <w:t>399.9</w:t>
            </w:r>
          </w:p>
        </w:tc>
        <w:tc>
          <w:tcPr>
            <w:tcW w:w="995" w:type="dxa"/>
          </w:tcPr>
          <w:p w:rsidR="005E455D" w:rsidRPr="00EA594A" w:rsidRDefault="005E455D" w:rsidP="005E455D">
            <w:pPr>
              <w:jc w:val="right"/>
              <w:rPr>
                <w:sz w:val="22"/>
                <w:szCs w:val="22"/>
              </w:rPr>
            </w:pPr>
            <w:r w:rsidRPr="00EA594A">
              <w:rPr>
                <w:sz w:val="22"/>
                <w:szCs w:val="22"/>
              </w:rPr>
              <w:t>552.8</w:t>
            </w:r>
          </w:p>
        </w:tc>
      </w:tr>
      <w:tr w:rsidR="00CA6A90" w:rsidTr="005E455D">
        <w:tc>
          <w:tcPr>
            <w:tcW w:w="3005" w:type="dxa"/>
          </w:tcPr>
          <w:p w:rsidR="005E455D" w:rsidRPr="00EA594A" w:rsidRDefault="005E455D" w:rsidP="005E455D">
            <w:pPr>
              <w:jc w:val="both"/>
              <w:rPr>
                <w:sz w:val="22"/>
                <w:szCs w:val="22"/>
              </w:rPr>
            </w:pPr>
            <w:r w:rsidRPr="00EA594A">
              <w:rPr>
                <w:sz w:val="22"/>
                <w:szCs w:val="22"/>
              </w:rPr>
              <w:t>Short term investments</w:t>
            </w:r>
          </w:p>
        </w:tc>
        <w:tc>
          <w:tcPr>
            <w:tcW w:w="995" w:type="dxa"/>
          </w:tcPr>
          <w:p w:rsidR="005E455D" w:rsidRPr="00EA594A" w:rsidRDefault="005E455D" w:rsidP="005E455D">
            <w:pPr>
              <w:jc w:val="right"/>
              <w:rPr>
                <w:sz w:val="22"/>
                <w:szCs w:val="22"/>
              </w:rPr>
            </w:pPr>
            <w:r w:rsidRPr="00EA594A">
              <w:rPr>
                <w:sz w:val="22"/>
                <w:szCs w:val="22"/>
              </w:rPr>
              <w:t>174.6</w:t>
            </w:r>
          </w:p>
        </w:tc>
        <w:tc>
          <w:tcPr>
            <w:tcW w:w="995" w:type="dxa"/>
          </w:tcPr>
          <w:p w:rsidR="005E455D" w:rsidRPr="00EA594A" w:rsidRDefault="005E455D" w:rsidP="005E455D">
            <w:pPr>
              <w:jc w:val="right"/>
              <w:rPr>
                <w:sz w:val="22"/>
                <w:szCs w:val="22"/>
              </w:rPr>
            </w:pPr>
            <w:r w:rsidRPr="00EA594A">
              <w:rPr>
                <w:sz w:val="22"/>
                <w:szCs w:val="22"/>
              </w:rPr>
              <w:t>24.7</w:t>
            </w:r>
          </w:p>
        </w:tc>
      </w:tr>
      <w:tr w:rsidR="00CA6A90" w:rsidTr="005E455D">
        <w:tc>
          <w:tcPr>
            <w:tcW w:w="3005" w:type="dxa"/>
            <w:shd w:val="clear" w:color="auto" w:fill="DBE5F1" w:themeFill="accent1" w:themeFillTint="33"/>
          </w:tcPr>
          <w:p w:rsidR="005E455D" w:rsidRPr="00EA594A" w:rsidRDefault="005E455D" w:rsidP="005E455D">
            <w:pPr>
              <w:jc w:val="both"/>
              <w:rPr>
                <w:b/>
                <w:sz w:val="22"/>
                <w:szCs w:val="22"/>
              </w:rPr>
            </w:pPr>
            <w:r w:rsidRPr="00EA594A">
              <w:rPr>
                <w:b/>
                <w:sz w:val="22"/>
                <w:szCs w:val="22"/>
              </w:rPr>
              <w:t>Total Investments</w:t>
            </w:r>
          </w:p>
        </w:tc>
        <w:tc>
          <w:tcPr>
            <w:tcW w:w="995" w:type="dxa"/>
            <w:shd w:val="clear" w:color="auto" w:fill="DBE5F1" w:themeFill="accent1" w:themeFillTint="33"/>
          </w:tcPr>
          <w:p w:rsidR="005E455D" w:rsidRPr="00EA594A" w:rsidRDefault="005E455D" w:rsidP="005E455D">
            <w:pPr>
              <w:jc w:val="right"/>
              <w:rPr>
                <w:b/>
                <w:sz w:val="22"/>
                <w:szCs w:val="22"/>
              </w:rPr>
            </w:pPr>
            <w:r w:rsidRPr="00EA594A">
              <w:rPr>
                <w:b/>
                <w:sz w:val="22"/>
                <w:szCs w:val="22"/>
              </w:rPr>
              <w:t>574.5</w:t>
            </w:r>
          </w:p>
        </w:tc>
        <w:tc>
          <w:tcPr>
            <w:tcW w:w="995" w:type="dxa"/>
            <w:shd w:val="clear" w:color="auto" w:fill="DBE5F1" w:themeFill="accent1" w:themeFillTint="33"/>
          </w:tcPr>
          <w:p w:rsidR="005E455D" w:rsidRPr="00EA594A" w:rsidRDefault="005E455D" w:rsidP="005E455D">
            <w:pPr>
              <w:jc w:val="right"/>
              <w:rPr>
                <w:b/>
                <w:sz w:val="22"/>
                <w:szCs w:val="22"/>
              </w:rPr>
            </w:pPr>
            <w:r w:rsidRPr="00EA594A">
              <w:rPr>
                <w:b/>
                <w:sz w:val="22"/>
                <w:szCs w:val="22"/>
              </w:rPr>
              <w:t>577.5</w:t>
            </w:r>
          </w:p>
        </w:tc>
      </w:tr>
    </w:tbl>
    <w:p w:rsidR="005E455D" w:rsidRDefault="005E455D" w:rsidP="005E455D">
      <w:pPr>
        <w:jc w:val="both"/>
        <w:rPr>
          <w:b/>
        </w:rPr>
      </w:pPr>
    </w:p>
    <w:p w:rsidR="005E455D" w:rsidRPr="00331412" w:rsidRDefault="005E455D" w:rsidP="005E455D">
      <w:pPr>
        <w:jc w:val="both"/>
        <w:rPr>
          <w:b/>
        </w:rPr>
      </w:pPr>
      <w:r w:rsidRPr="00331412">
        <w:rPr>
          <w:b/>
        </w:rPr>
        <w:t>Borrowing Activity 2016/17</w:t>
      </w:r>
    </w:p>
    <w:p w:rsidR="005E455D" w:rsidRDefault="005E455D" w:rsidP="005E455D">
      <w:pPr>
        <w:jc w:val="both"/>
        <w:rPr>
          <w:b/>
          <w:highlight w:val="yellow"/>
        </w:rPr>
      </w:pPr>
    </w:p>
    <w:p w:rsidR="005E455D" w:rsidRPr="000F6DF0" w:rsidRDefault="005E455D" w:rsidP="005E455D">
      <w:pPr>
        <w:jc w:val="both"/>
        <w:rPr>
          <w:highlight w:val="yellow"/>
        </w:rPr>
      </w:pPr>
      <w:r>
        <w:t>During the year borrowing was undertaken to finance new capital investment, to replace maturing debt and to cover short term cash-flow variations. With the low interest rates anticipated to continue the Council maintained its policy of taking short term market borrowing and this is reflected in the activity during the year and the structure of the debt at 31 March 2017. This is illustrated in the table and graph as follows.</w:t>
      </w:r>
    </w:p>
    <w:p w:rsidR="005E455D" w:rsidRPr="000F6DF0" w:rsidRDefault="005E455D" w:rsidP="005E455D">
      <w:pPr>
        <w:jc w:val="both"/>
        <w:rPr>
          <w:highlight w:val="yellow"/>
        </w:rPr>
      </w:pPr>
    </w:p>
    <w:p w:rsidR="005E455D" w:rsidRPr="007162EE" w:rsidRDefault="005E455D" w:rsidP="005E455D">
      <w:pPr>
        <w:jc w:val="both"/>
        <w:rPr>
          <w:b/>
          <w:szCs w:val="24"/>
        </w:rPr>
      </w:pPr>
      <w:r w:rsidRPr="007162EE">
        <w:rPr>
          <w:b/>
          <w:szCs w:val="24"/>
        </w:rPr>
        <w:t xml:space="preserve">Analysis of Borrowing Outstanding </w:t>
      </w:r>
    </w:p>
    <w:p w:rsidR="005E455D" w:rsidRPr="000F6DF0" w:rsidRDefault="005E455D" w:rsidP="005E455D">
      <w:pPr>
        <w:jc w:val="both"/>
        <w:rPr>
          <w:highlight w:val="yellow"/>
        </w:rPr>
      </w:pPr>
    </w:p>
    <w:tbl>
      <w:tblPr>
        <w:tblW w:w="8080" w:type="dxa"/>
        <w:tblLook w:val="04A0" w:firstRow="1" w:lastRow="0" w:firstColumn="1" w:lastColumn="0" w:noHBand="0" w:noVBand="1"/>
      </w:tblPr>
      <w:tblGrid>
        <w:gridCol w:w="2611"/>
        <w:gridCol w:w="1117"/>
        <w:gridCol w:w="667"/>
        <w:gridCol w:w="1116"/>
        <w:gridCol w:w="1287"/>
        <w:gridCol w:w="1117"/>
        <w:gridCol w:w="667"/>
      </w:tblGrid>
      <w:tr w:rsidR="00CA6A90" w:rsidTr="005E455D">
        <w:trPr>
          <w:cantSplit/>
          <w:trHeight w:val="600"/>
        </w:trPr>
        <w:tc>
          <w:tcPr>
            <w:tcW w:w="2611"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Debt 31/03/2016</w:t>
            </w:r>
          </w:p>
        </w:tc>
        <w:tc>
          <w:tcPr>
            <w:tcW w:w="62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 </w:t>
            </w:r>
          </w:p>
        </w:tc>
        <w:tc>
          <w:tcPr>
            <w:tcW w:w="101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Borrowing</w:t>
            </w:r>
          </w:p>
        </w:tc>
        <w:tc>
          <w:tcPr>
            <w:tcW w:w="11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Repayments</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Debt 31/03/2017</w:t>
            </w:r>
          </w:p>
        </w:tc>
        <w:tc>
          <w:tcPr>
            <w:tcW w:w="62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 </w:t>
            </w:r>
          </w:p>
        </w:tc>
      </w:tr>
      <w:tr w:rsidR="00CA6A90" w:rsidTr="005E455D">
        <w:trPr>
          <w:trHeight w:val="300"/>
        </w:trPr>
        <w:tc>
          <w:tcPr>
            <w:tcW w:w="2611" w:type="dxa"/>
            <w:tcBorders>
              <w:top w:val="nil"/>
              <w:left w:val="nil"/>
              <w:bottom w:val="nil"/>
              <w:right w:val="nil"/>
            </w:tcBorders>
            <w:shd w:val="clear" w:color="auto" w:fill="auto"/>
            <w:noWrap/>
            <w:vAlign w:val="bottom"/>
            <w:hideMark/>
          </w:tcPr>
          <w:p w:rsidR="005E455D" w:rsidRPr="00EA594A" w:rsidRDefault="005E455D" w:rsidP="005E455D">
            <w:pPr>
              <w:rPr>
                <w:rFonts w:cs="Arial"/>
                <w:b/>
                <w:bCs/>
                <w:color w:val="000000"/>
                <w:sz w:val="18"/>
                <w:szCs w:val="18"/>
              </w:rPr>
            </w:pPr>
          </w:p>
        </w:tc>
        <w:tc>
          <w:tcPr>
            <w:tcW w:w="10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£m</w:t>
            </w:r>
          </w:p>
        </w:tc>
        <w:tc>
          <w:tcPr>
            <w:tcW w:w="625" w:type="dxa"/>
            <w:tcBorders>
              <w:top w:val="nil"/>
              <w:left w:val="nil"/>
              <w:bottom w:val="single" w:sz="4" w:space="0" w:color="auto"/>
              <w:right w:val="single" w:sz="4" w:space="0" w:color="auto"/>
            </w:tcBorders>
            <w:shd w:val="clear" w:color="auto" w:fill="DBE5F1" w:themeFill="accent1" w:themeFillTint="33"/>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w:t>
            </w:r>
          </w:p>
        </w:tc>
        <w:tc>
          <w:tcPr>
            <w:tcW w:w="1016" w:type="dxa"/>
            <w:tcBorders>
              <w:top w:val="nil"/>
              <w:left w:val="nil"/>
              <w:bottom w:val="single" w:sz="4" w:space="0" w:color="auto"/>
              <w:right w:val="single" w:sz="4" w:space="0" w:color="auto"/>
            </w:tcBorders>
            <w:shd w:val="clear" w:color="auto" w:fill="DBE5F1" w:themeFill="accent1" w:themeFillTint="33"/>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£m</w:t>
            </w:r>
          </w:p>
        </w:tc>
        <w:tc>
          <w:tcPr>
            <w:tcW w:w="1168" w:type="dxa"/>
            <w:tcBorders>
              <w:top w:val="nil"/>
              <w:left w:val="nil"/>
              <w:bottom w:val="single" w:sz="4" w:space="0" w:color="auto"/>
              <w:right w:val="single" w:sz="4" w:space="0" w:color="auto"/>
            </w:tcBorders>
            <w:shd w:val="clear" w:color="auto" w:fill="DBE5F1" w:themeFill="accent1" w:themeFillTint="33"/>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£m</w:t>
            </w:r>
          </w:p>
        </w:tc>
        <w:tc>
          <w:tcPr>
            <w:tcW w:w="1017" w:type="dxa"/>
            <w:tcBorders>
              <w:top w:val="nil"/>
              <w:left w:val="nil"/>
              <w:bottom w:val="single" w:sz="4" w:space="0" w:color="auto"/>
              <w:right w:val="single" w:sz="4" w:space="0" w:color="auto"/>
            </w:tcBorders>
            <w:shd w:val="clear" w:color="auto" w:fill="DBE5F1" w:themeFill="accent1" w:themeFillTint="33"/>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£m</w:t>
            </w:r>
          </w:p>
        </w:tc>
        <w:tc>
          <w:tcPr>
            <w:tcW w:w="626" w:type="dxa"/>
            <w:tcBorders>
              <w:top w:val="nil"/>
              <w:left w:val="nil"/>
              <w:bottom w:val="single" w:sz="4" w:space="0" w:color="auto"/>
              <w:right w:val="single" w:sz="4" w:space="0" w:color="auto"/>
            </w:tcBorders>
            <w:shd w:val="clear" w:color="auto" w:fill="DBE5F1" w:themeFill="accent1" w:themeFillTint="33"/>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w:t>
            </w:r>
          </w:p>
        </w:tc>
      </w:tr>
      <w:tr w:rsidR="00CA6A90" w:rsidTr="005E455D">
        <w:trPr>
          <w:trHeight w:val="300"/>
        </w:trPr>
        <w:tc>
          <w:tcPr>
            <w:tcW w:w="2611" w:type="dxa"/>
            <w:tcBorders>
              <w:top w:val="nil"/>
              <w:left w:val="nil"/>
              <w:bottom w:val="nil"/>
              <w:right w:val="nil"/>
            </w:tcBorders>
            <w:shd w:val="clear" w:color="auto" w:fill="auto"/>
            <w:noWrap/>
            <w:vAlign w:val="bottom"/>
            <w:hideMark/>
          </w:tcPr>
          <w:p w:rsidR="005E455D" w:rsidRPr="00EA594A" w:rsidRDefault="005E455D" w:rsidP="005E455D">
            <w:pPr>
              <w:rPr>
                <w:rFonts w:cs="Arial"/>
                <w:b/>
                <w:bCs/>
                <w:color w:val="000000"/>
                <w:sz w:val="18"/>
                <w:szCs w:val="18"/>
                <w:u w:val="single"/>
              </w:rPr>
            </w:pPr>
            <w:r w:rsidRPr="00EA594A">
              <w:rPr>
                <w:rFonts w:cs="Arial"/>
                <w:b/>
                <w:bCs/>
                <w:color w:val="000000"/>
                <w:sz w:val="18"/>
                <w:szCs w:val="18"/>
                <w:u w:val="single"/>
              </w:rPr>
              <w:t>Fixed Rate Funding</w:t>
            </w:r>
          </w:p>
        </w:tc>
        <w:tc>
          <w:tcPr>
            <w:tcW w:w="1017" w:type="dxa"/>
            <w:tcBorders>
              <w:top w:val="nil"/>
              <w:left w:val="nil"/>
              <w:bottom w:val="nil"/>
              <w:right w:val="nil"/>
            </w:tcBorders>
            <w:shd w:val="clear" w:color="auto" w:fill="auto"/>
            <w:noWrap/>
            <w:vAlign w:val="bottom"/>
            <w:hideMark/>
          </w:tcPr>
          <w:p w:rsidR="005E455D" w:rsidRPr="00EA594A" w:rsidRDefault="005E455D" w:rsidP="005E455D">
            <w:pPr>
              <w:rPr>
                <w:rFonts w:cs="Arial"/>
                <w:b/>
                <w:bCs/>
                <w:color w:val="000000"/>
                <w:sz w:val="18"/>
                <w:szCs w:val="18"/>
                <w:u w:val="single"/>
              </w:rPr>
            </w:pPr>
          </w:p>
        </w:tc>
        <w:tc>
          <w:tcPr>
            <w:tcW w:w="625"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016"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168"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017"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626"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r>
      <w:tr w:rsidR="00CA6A90" w:rsidTr="005E455D">
        <w:trPr>
          <w:trHeight w:val="300"/>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55D" w:rsidRPr="00EA594A" w:rsidRDefault="005E455D" w:rsidP="005E455D">
            <w:pPr>
              <w:rPr>
                <w:rFonts w:cs="Arial"/>
                <w:color w:val="000000"/>
                <w:sz w:val="18"/>
                <w:szCs w:val="18"/>
              </w:rPr>
            </w:pPr>
            <w:r w:rsidRPr="00EA594A">
              <w:rPr>
                <w:rFonts w:cs="Arial"/>
                <w:color w:val="000000"/>
                <w:sz w:val="18"/>
                <w:szCs w:val="18"/>
              </w:rPr>
              <w:t>Public Works Loan Board</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213.1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21.</w:t>
            </w:r>
            <w:r>
              <w:rPr>
                <w:rFonts w:cs="Arial"/>
                <w:color w:val="000000"/>
                <w:sz w:val="18"/>
                <w:szCs w:val="18"/>
              </w:rPr>
              <w:t>9</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213.1</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20.5</w:t>
            </w:r>
          </w:p>
        </w:tc>
      </w:tr>
      <w:tr w:rsidR="00CA6A90" w:rsidTr="005E455D">
        <w:trPr>
          <w:trHeight w:val="300"/>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5E455D" w:rsidRPr="00EA594A" w:rsidRDefault="005E455D" w:rsidP="005E455D">
            <w:pPr>
              <w:rPr>
                <w:rFonts w:cs="Arial"/>
                <w:color w:val="000000"/>
                <w:sz w:val="18"/>
                <w:szCs w:val="18"/>
              </w:rPr>
            </w:pPr>
            <w:r w:rsidRPr="00EA594A">
              <w:rPr>
                <w:rFonts w:cs="Arial"/>
                <w:color w:val="000000"/>
                <w:sz w:val="18"/>
                <w:szCs w:val="18"/>
              </w:rPr>
              <w:t xml:space="preserve">LOBO* </w:t>
            </w:r>
          </w:p>
        </w:tc>
        <w:tc>
          <w:tcPr>
            <w:tcW w:w="1017"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50</w:t>
            </w:r>
            <w:r>
              <w:rPr>
                <w:rFonts w:cs="Arial"/>
                <w:color w:val="000000"/>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5.1</w:t>
            </w:r>
          </w:p>
        </w:tc>
        <w:tc>
          <w:tcPr>
            <w:tcW w:w="1016"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w:t>
            </w:r>
          </w:p>
        </w:tc>
        <w:tc>
          <w:tcPr>
            <w:tcW w:w="1168"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w:t>
            </w:r>
          </w:p>
        </w:tc>
        <w:tc>
          <w:tcPr>
            <w:tcW w:w="1017"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50</w:t>
            </w:r>
            <w:r>
              <w:rPr>
                <w:rFonts w:cs="Arial"/>
                <w:color w:val="000000"/>
                <w:sz w:val="18"/>
                <w:szCs w:val="18"/>
              </w:rPr>
              <w:t>.0</w:t>
            </w:r>
          </w:p>
        </w:tc>
        <w:tc>
          <w:tcPr>
            <w:tcW w:w="626"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4.8</w:t>
            </w:r>
          </w:p>
        </w:tc>
      </w:tr>
      <w:tr w:rsidR="00CA6A90" w:rsidTr="005E455D">
        <w:trPr>
          <w:trHeight w:val="300"/>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5E455D" w:rsidRPr="00EA594A" w:rsidRDefault="005E455D" w:rsidP="005E455D">
            <w:pPr>
              <w:rPr>
                <w:rFonts w:cs="Arial"/>
                <w:color w:val="000000"/>
                <w:sz w:val="18"/>
                <w:szCs w:val="18"/>
              </w:rPr>
            </w:pPr>
            <w:r w:rsidRPr="00EA594A">
              <w:rPr>
                <w:rFonts w:cs="Arial"/>
                <w:color w:val="000000"/>
                <w:sz w:val="18"/>
                <w:szCs w:val="18"/>
              </w:rPr>
              <w:t>Market Borrowing</w:t>
            </w:r>
          </w:p>
        </w:tc>
        <w:tc>
          <w:tcPr>
            <w:tcW w:w="1017"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522.4</w:t>
            </w:r>
          </w:p>
        </w:tc>
        <w:tc>
          <w:tcPr>
            <w:tcW w:w="625"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53.</w:t>
            </w:r>
            <w:r>
              <w:rPr>
                <w:rFonts w:cs="Arial"/>
                <w:color w:val="000000"/>
                <w:sz w:val="18"/>
                <w:szCs w:val="18"/>
              </w:rPr>
              <w:t>7</w:t>
            </w:r>
          </w:p>
        </w:tc>
        <w:tc>
          <w:tcPr>
            <w:tcW w:w="1016"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545.5</w:t>
            </w:r>
          </w:p>
        </w:tc>
        <w:tc>
          <w:tcPr>
            <w:tcW w:w="1168"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-477.9</w:t>
            </w:r>
          </w:p>
        </w:tc>
        <w:tc>
          <w:tcPr>
            <w:tcW w:w="1017"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590</w:t>
            </w:r>
            <w:r>
              <w:rPr>
                <w:rFonts w:cs="Arial"/>
                <w:color w:val="000000"/>
                <w:sz w:val="18"/>
                <w:szCs w:val="18"/>
              </w:rPr>
              <w:t>.0</w:t>
            </w:r>
          </w:p>
        </w:tc>
        <w:tc>
          <w:tcPr>
            <w:tcW w:w="626"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56.</w:t>
            </w:r>
            <w:r>
              <w:rPr>
                <w:rFonts w:cs="Arial"/>
                <w:color w:val="000000"/>
                <w:sz w:val="18"/>
                <w:szCs w:val="18"/>
              </w:rPr>
              <w:t>7</w:t>
            </w:r>
          </w:p>
        </w:tc>
      </w:tr>
      <w:tr w:rsidR="00CA6A90" w:rsidTr="005E455D">
        <w:trPr>
          <w:trHeight w:val="300"/>
        </w:trPr>
        <w:tc>
          <w:tcPr>
            <w:tcW w:w="2611" w:type="dxa"/>
            <w:tcBorders>
              <w:top w:val="nil"/>
              <w:left w:val="single" w:sz="4" w:space="0" w:color="auto"/>
              <w:bottom w:val="single" w:sz="4" w:space="0" w:color="auto"/>
              <w:right w:val="single" w:sz="4" w:space="0" w:color="auto"/>
            </w:tcBorders>
            <w:shd w:val="clear" w:color="000000" w:fill="D9E1F2"/>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Total Fixed Rate Funding </w:t>
            </w:r>
          </w:p>
        </w:tc>
        <w:tc>
          <w:tcPr>
            <w:tcW w:w="1017"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785.5</w:t>
            </w:r>
          </w:p>
        </w:tc>
        <w:tc>
          <w:tcPr>
            <w:tcW w:w="625"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 </w:t>
            </w:r>
          </w:p>
        </w:tc>
        <w:tc>
          <w:tcPr>
            <w:tcW w:w="1016"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545.5</w:t>
            </w:r>
          </w:p>
        </w:tc>
        <w:tc>
          <w:tcPr>
            <w:tcW w:w="1168"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-477.9</w:t>
            </w:r>
          </w:p>
        </w:tc>
        <w:tc>
          <w:tcPr>
            <w:tcW w:w="1017"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853.1</w:t>
            </w:r>
          </w:p>
        </w:tc>
        <w:tc>
          <w:tcPr>
            <w:tcW w:w="626"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 </w:t>
            </w:r>
          </w:p>
        </w:tc>
      </w:tr>
      <w:tr w:rsidR="00CA6A90" w:rsidTr="005E455D">
        <w:trPr>
          <w:trHeight w:val="300"/>
        </w:trPr>
        <w:tc>
          <w:tcPr>
            <w:tcW w:w="2611" w:type="dxa"/>
            <w:tcBorders>
              <w:top w:val="nil"/>
              <w:left w:val="nil"/>
              <w:bottom w:val="nil"/>
              <w:right w:val="nil"/>
            </w:tcBorders>
            <w:shd w:val="clear" w:color="auto" w:fill="auto"/>
            <w:noWrap/>
            <w:vAlign w:val="bottom"/>
            <w:hideMark/>
          </w:tcPr>
          <w:p w:rsidR="005E455D" w:rsidRPr="00EA594A" w:rsidRDefault="005E455D" w:rsidP="005E455D">
            <w:pPr>
              <w:rPr>
                <w:rFonts w:cs="Arial"/>
                <w:b/>
                <w:bCs/>
                <w:color w:val="000000"/>
                <w:sz w:val="18"/>
                <w:szCs w:val="18"/>
              </w:rPr>
            </w:pPr>
          </w:p>
        </w:tc>
        <w:tc>
          <w:tcPr>
            <w:tcW w:w="1017"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625"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016"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168"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017"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626"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r>
      <w:tr w:rsidR="00CA6A90" w:rsidTr="005E455D">
        <w:trPr>
          <w:trHeight w:val="300"/>
        </w:trPr>
        <w:tc>
          <w:tcPr>
            <w:tcW w:w="2611" w:type="dxa"/>
            <w:tcBorders>
              <w:top w:val="nil"/>
              <w:left w:val="nil"/>
              <w:bottom w:val="nil"/>
              <w:right w:val="nil"/>
            </w:tcBorders>
            <w:shd w:val="clear" w:color="auto" w:fill="auto"/>
            <w:noWrap/>
            <w:vAlign w:val="bottom"/>
            <w:hideMark/>
          </w:tcPr>
          <w:p w:rsidR="005E455D" w:rsidRPr="00EA594A" w:rsidRDefault="005E455D" w:rsidP="005E455D">
            <w:pPr>
              <w:rPr>
                <w:rFonts w:cs="Arial"/>
                <w:b/>
                <w:bCs/>
                <w:color w:val="000000"/>
                <w:sz w:val="18"/>
                <w:szCs w:val="18"/>
                <w:u w:val="single"/>
              </w:rPr>
            </w:pPr>
            <w:r w:rsidRPr="00EA594A">
              <w:rPr>
                <w:rFonts w:cs="Arial"/>
                <w:b/>
                <w:bCs/>
                <w:color w:val="000000"/>
                <w:sz w:val="18"/>
                <w:szCs w:val="18"/>
                <w:u w:val="single"/>
              </w:rPr>
              <w:t>Variable Rate Funding</w:t>
            </w:r>
          </w:p>
        </w:tc>
        <w:tc>
          <w:tcPr>
            <w:tcW w:w="1017" w:type="dxa"/>
            <w:tcBorders>
              <w:top w:val="nil"/>
              <w:left w:val="nil"/>
              <w:bottom w:val="nil"/>
              <w:right w:val="nil"/>
            </w:tcBorders>
            <w:shd w:val="clear" w:color="auto" w:fill="auto"/>
            <w:noWrap/>
            <w:vAlign w:val="bottom"/>
            <w:hideMark/>
          </w:tcPr>
          <w:p w:rsidR="005E455D" w:rsidRPr="00EA594A" w:rsidRDefault="005E455D" w:rsidP="005E455D">
            <w:pPr>
              <w:rPr>
                <w:rFonts w:cs="Arial"/>
                <w:b/>
                <w:bCs/>
                <w:color w:val="000000"/>
                <w:sz w:val="18"/>
                <w:szCs w:val="18"/>
                <w:u w:val="single"/>
              </w:rPr>
            </w:pPr>
          </w:p>
        </w:tc>
        <w:tc>
          <w:tcPr>
            <w:tcW w:w="625"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016"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168"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017"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626"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r>
      <w:tr w:rsidR="00CA6A90" w:rsidTr="005E455D">
        <w:trPr>
          <w:trHeight w:val="300"/>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55D" w:rsidRPr="00EA594A" w:rsidRDefault="005E455D" w:rsidP="005E455D">
            <w:pPr>
              <w:rPr>
                <w:rFonts w:cs="Arial"/>
                <w:color w:val="000000"/>
                <w:sz w:val="18"/>
                <w:szCs w:val="18"/>
              </w:rPr>
            </w:pPr>
            <w:r w:rsidRPr="00EA594A">
              <w:rPr>
                <w:rFonts w:cs="Arial"/>
                <w:color w:val="000000"/>
                <w:sz w:val="18"/>
                <w:szCs w:val="18"/>
              </w:rPr>
              <w:t>Public Works Loan Board</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125.</w:t>
            </w:r>
            <w:r>
              <w:rPr>
                <w:rFonts w:cs="Arial"/>
                <w:color w:val="000000"/>
                <w:sz w:val="18"/>
                <w:szCs w:val="18"/>
              </w:rPr>
              <w:t>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12.9</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125.</w:t>
            </w:r>
            <w:r>
              <w:rPr>
                <w:rFonts w:cs="Arial"/>
                <w:color w:val="000000"/>
                <w:sz w:val="18"/>
                <w:szCs w:val="18"/>
              </w:rPr>
              <w:t>7</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12.1</w:t>
            </w:r>
          </w:p>
        </w:tc>
      </w:tr>
      <w:tr w:rsidR="00CA6A90" w:rsidTr="005E455D">
        <w:trPr>
          <w:trHeight w:val="300"/>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rsidR="005E455D" w:rsidRPr="00EA594A" w:rsidRDefault="005E455D" w:rsidP="005E455D">
            <w:pPr>
              <w:rPr>
                <w:rFonts w:cs="Arial"/>
                <w:color w:val="000000"/>
                <w:sz w:val="18"/>
                <w:szCs w:val="18"/>
              </w:rPr>
            </w:pPr>
            <w:r w:rsidRPr="00EA594A">
              <w:rPr>
                <w:rFonts w:cs="Arial"/>
                <w:color w:val="000000"/>
                <w:sz w:val="18"/>
                <w:szCs w:val="18"/>
              </w:rPr>
              <w:t>Shared Investment Scheme</w:t>
            </w:r>
          </w:p>
        </w:tc>
        <w:tc>
          <w:tcPr>
            <w:tcW w:w="1017"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62.</w:t>
            </w:r>
            <w:r>
              <w:rPr>
                <w:rFonts w:cs="Arial"/>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6.4</w:t>
            </w:r>
          </w:p>
        </w:tc>
        <w:tc>
          <w:tcPr>
            <w:tcW w:w="1016"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512.9</w:t>
            </w:r>
          </w:p>
        </w:tc>
        <w:tc>
          <w:tcPr>
            <w:tcW w:w="1168"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-514.</w:t>
            </w:r>
            <w:r>
              <w:rPr>
                <w:rFonts w:cs="Arial"/>
                <w:color w:val="000000"/>
                <w:sz w:val="18"/>
                <w:szCs w:val="18"/>
              </w:rPr>
              <w:t>5</w:t>
            </w:r>
          </w:p>
        </w:tc>
        <w:tc>
          <w:tcPr>
            <w:tcW w:w="1017"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60.8</w:t>
            </w:r>
          </w:p>
        </w:tc>
        <w:tc>
          <w:tcPr>
            <w:tcW w:w="626" w:type="dxa"/>
            <w:tcBorders>
              <w:top w:val="nil"/>
              <w:left w:val="nil"/>
              <w:bottom w:val="single" w:sz="4" w:space="0" w:color="auto"/>
              <w:right w:val="single" w:sz="4" w:space="0" w:color="auto"/>
            </w:tcBorders>
            <w:shd w:val="clear" w:color="auto" w:fill="auto"/>
            <w:noWrap/>
            <w:vAlign w:val="bottom"/>
            <w:hideMark/>
          </w:tcPr>
          <w:p w:rsidR="005E455D" w:rsidRPr="00EA594A" w:rsidRDefault="005E455D" w:rsidP="005E455D">
            <w:pPr>
              <w:jc w:val="right"/>
              <w:rPr>
                <w:rFonts w:cs="Arial"/>
                <w:color w:val="000000"/>
                <w:sz w:val="18"/>
                <w:szCs w:val="18"/>
              </w:rPr>
            </w:pPr>
            <w:r w:rsidRPr="00EA594A">
              <w:rPr>
                <w:rFonts w:cs="Arial"/>
                <w:color w:val="000000"/>
                <w:sz w:val="18"/>
                <w:szCs w:val="18"/>
              </w:rPr>
              <w:t>5.</w:t>
            </w:r>
            <w:r>
              <w:rPr>
                <w:rFonts w:cs="Arial"/>
                <w:color w:val="000000"/>
                <w:sz w:val="18"/>
                <w:szCs w:val="18"/>
              </w:rPr>
              <w:t>9</w:t>
            </w:r>
          </w:p>
        </w:tc>
      </w:tr>
      <w:tr w:rsidR="00CA6A90" w:rsidTr="005E455D">
        <w:trPr>
          <w:trHeight w:val="300"/>
        </w:trPr>
        <w:tc>
          <w:tcPr>
            <w:tcW w:w="2611" w:type="dxa"/>
            <w:tcBorders>
              <w:top w:val="nil"/>
              <w:left w:val="single" w:sz="4" w:space="0" w:color="auto"/>
              <w:bottom w:val="single" w:sz="4" w:space="0" w:color="auto"/>
              <w:right w:val="single" w:sz="4" w:space="0" w:color="auto"/>
            </w:tcBorders>
            <w:shd w:val="clear" w:color="000000" w:fill="D9E1F2"/>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Total Variable Rate Funding</w:t>
            </w:r>
          </w:p>
        </w:tc>
        <w:tc>
          <w:tcPr>
            <w:tcW w:w="1017"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188.1</w:t>
            </w:r>
          </w:p>
        </w:tc>
        <w:tc>
          <w:tcPr>
            <w:tcW w:w="625"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 </w:t>
            </w:r>
          </w:p>
        </w:tc>
        <w:tc>
          <w:tcPr>
            <w:tcW w:w="1016"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512.9</w:t>
            </w:r>
          </w:p>
        </w:tc>
        <w:tc>
          <w:tcPr>
            <w:tcW w:w="1168"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-514.</w:t>
            </w:r>
            <w:r>
              <w:rPr>
                <w:rFonts w:cs="Arial"/>
                <w:b/>
                <w:bCs/>
                <w:color w:val="000000"/>
                <w:sz w:val="18"/>
                <w:szCs w:val="18"/>
              </w:rPr>
              <w:t>5</w:t>
            </w:r>
          </w:p>
        </w:tc>
        <w:tc>
          <w:tcPr>
            <w:tcW w:w="1017"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186.</w:t>
            </w:r>
            <w:r>
              <w:rPr>
                <w:rFonts w:cs="Arial"/>
                <w:b/>
                <w:bCs/>
                <w:color w:val="000000"/>
                <w:sz w:val="18"/>
                <w:szCs w:val="18"/>
              </w:rPr>
              <w:t>5</w:t>
            </w:r>
          </w:p>
        </w:tc>
        <w:tc>
          <w:tcPr>
            <w:tcW w:w="626" w:type="dxa"/>
            <w:tcBorders>
              <w:top w:val="nil"/>
              <w:left w:val="nil"/>
              <w:bottom w:val="single" w:sz="4" w:space="0" w:color="auto"/>
              <w:right w:val="single" w:sz="4" w:space="0" w:color="auto"/>
            </w:tcBorders>
            <w:shd w:val="clear" w:color="000000" w:fill="D9E1F2"/>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 </w:t>
            </w:r>
          </w:p>
        </w:tc>
      </w:tr>
      <w:tr w:rsidR="00CA6A90" w:rsidTr="005E455D">
        <w:trPr>
          <w:trHeight w:val="300"/>
        </w:trPr>
        <w:tc>
          <w:tcPr>
            <w:tcW w:w="2611" w:type="dxa"/>
            <w:tcBorders>
              <w:top w:val="nil"/>
              <w:left w:val="nil"/>
              <w:bottom w:val="nil"/>
              <w:right w:val="nil"/>
            </w:tcBorders>
            <w:shd w:val="clear" w:color="auto" w:fill="auto"/>
            <w:noWrap/>
            <w:vAlign w:val="bottom"/>
            <w:hideMark/>
          </w:tcPr>
          <w:p w:rsidR="005E455D" w:rsidRPr="00EA594A" w:rsidRDefault="005E455D" w:rsidP="005E455D">
            <w:pPr>
              <w:rPr>
                <w:rFonts w:cs="Arial"/>
                <w:b/>
                <w:bCs/>
                <w:color w:val="000000"/>
                <w:sz w:val="18"/>
                <w:szCs w:val="18"/>
              </w:rPr>
            </w:pPr>
          </w:p>
        </w:tc>
        <w:tc>
          <w:tcPr>
            <w:tcW w:w="1017"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625"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016"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168"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1017"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c>
          <w:tcPr>
            <w:tcW w:w="626" w:type="dxa"/>
            <w:tcBorders>
              <w:top w:val="nil"/>
              <w:left w:val="nil"/>
              <w:bottom w:val="nil"/>
              <w:right w:val="nil"/>
            </w:tcBorders>
            <w:shd w:val="clear" w:color="auto" w:fill="auto"/>
            <w:noWrap/>
            <w:vAlign w:val="bottom"/>
            <w:hideMark/>
          </w:tcPr>
          <w:p w:rsidR="005E455D" w:rsidRPr="00EA594A" w:rsidRDefault="005E455D" w:rsidP="005E455D">
            <w:pPr>
              <w:rPr>
                <w:rFonts w:cs="Arial"/>
                <w:sz w:val="18"/>
                <w:szCs w:val="18"/>
              </w:rPr>
            </w:pPr>
          </w:p>
        </w:tc>
      </w:tr>
      <w:tr w:rsidR="00CA6A90" w:rsidTr="005E455D">
        <w:trPr>
          <w:trHeight w:val="300"/>
        </w:trPr>
        <w:tc>
          <w:tcPr>
            <w:tcW w:w="261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5E455D" w:rsidRPr="00EA594A" w:rsidRDefault="005E455D" w:rsidP="005E455D">
            <w:pPr>
              <w:rPr>
                <w:rFonts w:cs="Arial"/>
                <w:b/>
                <w:bCs/>
                <w:color w:val="000000"/>
                <w:sz w:val="18"/>
                <w:szCs w:val="18"/>
              </w:rPr>
            </w:pPr>
            <w:r w:rsidRPr="00EA594A">
              <w:rPr>
                <w:rFonts w:cs="Arial"/>
                <w:b/>
                <w:bCs/>
                <w:color w:val="000000"/>
                <w:sz w:val="18"/>
                <w:szCs w:val="18"/>
              </w:rPr>
              <w:t>Total Loan Debt</w:t>
            </w:r>
          </w:p>
        </w:tc>
        <w:tc>
          <w:tcPr>
            <w:tcW w:w="1017" w:type="dxa"/>
            <w:tcBorders>
              <w:top w:val="single" w:sz="4" w:space="0" w:color="auto"/>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973.6</w:t>
            </w:r>
          </w:p>
        </w:tc>
        <w:tc>
          <w:tcPr>
            <w:tcW w:w="625" w:type="dxa"/>
            <w:tcBorders>
              <w:top w:val="single" w:sz="4" w:space="0" w:color="auto"/>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100</w:t>
            </w:r>
            <w:r>
              <w:rPr>
                <w:rFonts w:cs="Arial"/>
                <w:b/>
                <w:bCs/>
                <w:color w:val="000000"/>
                <w:sz w:val="18"/>
                <w:szCs w:val="18"/>
              </w:rPr>
              <w:t>.0</w:t>
            </w:r>
          </w:p>
        </w:tc>
        <w:tc>
          <w:tcPr>
            <w:tcW w:w="1016" w:type="dxa"/>
            <w:tcBorders>
              <w:top w:val="single" w:sz="4" w:space="0" w:color="auto"/>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1,058.4</w:t>
            </w:r>
          </w:p>
        </w:tc>
        <w:tc>
          <w:tcPr>
            <w:tcW w:w="1168" w:type="dxa"/>
            <w:tcBorders>
              <w:top w:val="single" w:sz="4" w:space="0" w:color="auto"/>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-992.</w:t>
            </w:r>
            <w:r>
              <w:rPr>
                <w:rFonts w:cs="Arial"/>
                <w:b/>
                <w:bCs/>
                <w:color w:val="000000"/>
                <w:sz w:val="18"/>
                <w:szCs w:val="18"/>
              </w:rPr>
              <w:t>4</w:t>
            </w:r>
          </w:p>
        </w:tc>
        <w:tc>
          <w:tcPr>
            <w:tcW w:w="1017" w:type="dxa"/>
            <w:tcBorders>
              <w:top w:val="single" w:sz="4" w:space="0" w:color="auto"/>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1,039.</w:t>
            </w:r>
            <w:r>
              <w:rPr>
                <w:rFonts w:cs="Arial"/>
                <w:b/>
                <w:bCs/>
                <w:color w:val="000000"/>
                <w:sz w:val="18"/>
                <w:szCs w:val="18"/>
              </w:rPr>
              <w:t>6</w:t>
            </w:r>
          </w:p>
        </w:tc>
        <w:tc>
          <w:tcPr>
            <w:tcW w:w="626" w:type="dxa"/>
            <w:tcBorders>
              <w:top w:val="single" w:sz="4" w:space="0" w:color="auto"/>
              <w:left w:val="nil"/>
              <w:bottom w:val="single" w:sz="4" w:space="0" w:color="auto"/>
              <w:right w:val="single" w:sz="4" w:space="0" w:color="auto"/>
            </w:tcBorders>
            <w:shd w:val="clear" w:color="000000" w:fill="D9E1F2"/>
            <w:noWrap/>
            <w:vAlign w:val="bottom"/>
            <w:hideMark/>
          </w:tcPr>
          <w:p w:rsidR="005E455D" w:rsidRPr="00EA594A" w:rsidRDefault="005E455D" w:rsidP="005E455D">
            <w:pPr>
              <w:jc w:val="right"/>
              <w:rPr>
                <w:rFonts w:cs="Arial"/>
                <w:b/>
                <w:bCs/>
                <w:color w:val="000000"/>
                <w:sz w:val="18"/>
                <w:szCs w:val="18"/>
              </w:rPr>
            </w:pPr>
            <w:r w:rsidRPr="00EA594A">
              <w:rPr>
                <w:rFonts w:cs="Arial"/>
                <w:b/>
                <w:bCs/>
                <w:color w:val="000000"/>
                <w:sz w:val="18"/>
                <w:szCs w:val="18"/>
              </w:rPr>
              <w:t>100</w:t>
            </w:r>
            <w:r>
              <w:rPr>
                <w:rFonts w:cs="Arial"/>
                <w:b/>
                <w:bCs/>
                <w:color w:val="000000"/>
                <w:sz w:val="18"/>
                <w:szCs w:val="18"/>
              </w:rPr>
              <w:t>.0</w:t>
            </w:r>
          </w:p>
        </w:tc>
      </w:tr>
    </w:tbl>
    <w:p w:rsidR="005E455D" w:rsidRDefault="005E455D" w:rsidP="005E455D">
      <w:pPr>
        <w:jc w:val="both"/>
      </w:pPr>
    </w:p>
    <w:p w:rsidR="005E455D" w:rsidRPr="00231635" w:rsidRDefault="005E455D" w:rsidP="005E455D">
      <w:pPr>
        <w:jc w:val="both"/>
        <w:rPr>
          <w:sz w:val="20"/>
        </w:rPr>
      </w:pPr>
      <w:r w:rsidRPr="00231635">
        <w:rPr>
          <w:sz w:val="20"/>
        </w:rPr>
        <w:t>*Lender option borrower option</w:t>
      </w:r>
    </w:p>
    <w:p w:rsidR="005E455D" w:rsidRDefault="005E455D" w:rsidP="005E455D">
      <w:pPr>
        <w:jc w:val="both"/>
      </w:pPr>
    </w:p>
    <w:p w:rsidR="005E455D" w:rsidRDefault="005E455D" w:rsidP="005E455D">
      <w:pPr>
        <w:jc w:val="both"/>
        <w:rPr>
          <w:rFonts w:cs="Arial"/>
        </w:rPr>
      </w:pPr>
      <w:r>
        <w:rPr>
          <w:noProof/>
        </w:rPr>
        <w:lastRenderedPageBreak/>
        <w:drawing>
          <wp:inline distT="0" distB="0" distL="0" distR="0">
            <wp:extent cx="5422790" cy="3307742"/>
            <wp:effectExtent l="0" t="0" r="6985"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455D" w:rsidRDefault="005E455D" w:rsidP="005E455D">
      <w:pPr>
        <w:jc w:val="both"/>
        <w:rPr>
          <w:rFonts w:cs="Arial"/>
        </w:rPr>
      </w:pPr>
    </w:p>
    <w:p w:rsidR="005E455D" w:rsidRPr="000257AD" w:rsidRDefault="005E455D" w:rsidP="005E455D">
      <w:pPr>
        <w:jc w:val="both"/>
      </w:pPr>
      <w:r w:rsidRPr="000257AD">
        <w:rPr>
          <w:rFonts w:cs="Arial"/>
        </w:rPr>
        <w:t xml:space="preserve">With short-term interest rates being lower than long-term rates, it was more cost effective in the short-term to </w:t>
      </w:r>
      <w:r w:rsidRPr="000257AD">
        <w:t xml:space="preserve">borrow short-term loans from the market, mainly from other local authorities.  Whilst such a strategy is most likely to be beneficial over the next year as official interest rates remain low, it is unlikely to be sustained in the medium-term. The Director of Financial Resources will, in conjunction with Arlingclose, continue to closely monitor interest rate forecasts in order to establish when long term interest rates might be expected to rise and adjust the strategy accordingly.  </w:t>
      </w:r>
    </w:p>
    <w:p w:rsidR="005E455D" w:rsidRDefault="005E455D" w:rsidP="005E455D">
      <w:pPr>
        <w:jc w:val="both"/>
      </w:pPr>
    </w:p>
    <w:p w:rsidR="005E455D" w:rsidRPr="000257AD" w:rsidRDefault="005E455D" w:rsidP="005E455D">
      <w:pPr>
        <w:jc w:val="both"/>
      </w:pPr>
      <w:r w:rsidRPr="000257AD">
        <w:t xml:space="preserve">Overall the average rate of interest paid in </w:t>
      </w:r>
      <w:r w:rsidRPr="000257AD">
        <w:rPr>
          <w:caps/>
        </w:rPr>
        <w:t>2016/17</w:t>
      </w:r>
      <w:r w:rsidRPr="000257AD">
        <w:t xml:space="preserve"> on the debt administered by the County Council was 2.12% per annum compared with an average rate of 2.03% in 2015/16,  2.07% in 2014/15 and 2.48% in 2013/</w:t>
      </w:r>
      <w:r>
        <w:t>1</w:t>
      </w:r>
      <w:r w:rsidRPr="000257AD">
        <w:t>4.</w:t>
      </w:r>
    </w:p>
    <w:p w:rsidR="005E455D" w:rsidRPr="000F6DF0" w:rsidRDefault="005E455D" w:rsidP="005E455D">
      <w:pPr>
        <w:jc w:val="both"/>
        <w:rPr>
          <w:highlight w:val="yellow"/>
        </w:rPr>
      </w:pPr>
    </w:p>
    <w:p w:rsidR="005E455D" w:rsidRDefault="005E455D" w:rsidP="005E455D">
      <w:pPr>
        <w:jc w:val="both"/>
        <w:rPr>
          <w:b/>
          <w:szCs w:val="24"/>
        </w:rPr>
      </w:pPr>
      <w:r>
        <w:rPr>
          <w:b/>
          <w:szCs w:val="24"/>
        </w:rPr>
        <w:t>Other Debt</w:t>
      </w:r>
    </w:p>
    <w:p w:rsidR="005E455D" w:rsidRDefault="005E455D" w:rsidP="005E455D">
      <w:pPr>
        <w:jc w:val="both"/>
        <w:rPr>
          <w:b/>
          <w:szCs w:val="24"/>
        </w:rPr>
      </w:pPr>
    </w:p>
    <w:p w:rsidR="005E455D" w:rsidRPr="0000793D" w:rsidRDefault="005E455D" w:rsidP="005E455D">
      <w:pPr>
        <w:jc w:val="both"/>
        <w:rPr>
          <w:szCs w:val="24"/>
        </w:rPr>
      </w:pPr>
      <w:r w:rsidRPr="0000793D">
        <w:rPr>
          <w:szCs w:val="24"/>
        </w:rPr>
        <w:t xml:space="preserve">The County Council did not </w:t>
      </w:r>
      <w:r>
        <w:rPr>
          <w:szCs w:val="24"/>
        </w:rPr>
        <w:t xml:space="preserve">enter into any new other long term liability arrangements in the year. The outstanding PFI liability at 31 March 2017 was £162.4m. </w:t>
      </w:r>
    </w:p>
    <w:p w:rsidR="005E455D" w:rsidRDefault="005E455D" w:rsidP="005E455D">
      <w:pPr>
        <w:jc w:val="both"/>
        <w:rPr>
          <w:b/>
          <w:szCs w:val="24"/>
        </w:rPr>
      </w:pPr>
    </w:p>
    <w:p w:rsidR="005E455D" w:rsidRPr="000257AD" w:rsidRDefault="005E455D" w:rsidP="005E455D">
      <w:pPr>
        <w:jc w:val="both"/>
        <w:rPr>
          <w:b/>
          <w:szCs w:val="24"/>
        </w:rPr>
      </w:pPr>
      <w:r w:rsidRPr="000257AD">
        <w:rPr>
          <w:b/>
          <w:szCs w:val="24"/>
        </w:rPr>
        <w:t>Investment Activity</w:t>
      </w:r>
    </w:p>
    <w:p w:rsidR="005E455D" w:rsidRDefault="005E455D" w:rsidP="005E455D">
      <w:pPr>
        <w:jc w:val="both"/>
        <w:rPr>
          <w:szCs w:val="24"/>
        </w:rPr>
      </w:pPr>
    </w:p>
    <w:p w:rsidR="005E455D" w:rsidRDefault="005E455D" w:rsidP="005E455D">
      <w:pPr>
        <w:ind w:right="-153"/>
        <w:jc w:val="both"/>
      </w:pPr>
      <w:r w:rsidRPr="00B8625A">
        <w:t>In undertaking investment</w:t>
      </w:r>
      <w:r>
        <w:t>s,</w:t>
      </w:r>
      <w:r w:rsidRPr="00B8625A">
        <w:t xml:space="preserve"> consideration is </w:t>
      </w:r>
      <w:r>
        <w:t>given to</w:t>
      </w:r>
      <w:r w:rsidRPr="00B8625A">
        <w:t xml:space="preserve"> the risk and liquidity within the portfolio. </w:t>
      </w:r>
      <w:r>
        <w:t>T</w:t>
      </w:r>
      <w:r w:rsidRPr="00B8625A">
        <w:t>he maturity of the investment, the asset type, the country invested in and the credit rating</w:t>
      </w:r>
      <w:r>
        <w:t xml:space="preserve"> are also considered</w:t>
      </w:r>
      <w:r w:rsidRPr="00B8625A">
        <w:t xml:space="preserve">. </w:t>
      </w:r>
    </w:p>
    <w:p w:rsidR="005E455D" w:rsidRDefault="005E455D" w:rsidP="005E455D">
      <w:pPr>
        <w:jc w:val="both"/>
      </w:pPr>
    </w:p>
    <w:p w:rsidR="005E455D" w:rsidRDefault="005E455D" w:rsidP="005E455D">
      <w:pPr>
        <w:jc w:val="both"/>
      </w:pPr>
    </w:p>
    <w:p w:rsidR="005E455D" w:rsidRDefault="005E455D" w:rsidP="005E455D">
      <w:pPr>
        <w:jc w:val="both"/>
      </w:pPr>
    </w:p>
    <w:p w:rsidR="005E455D" w:rsidRDefault="005E455D" w:rsidP="005E455D">
      <w:pPr>
        <w:jc w:val="both"/>
      </w:pPr>
    </w:p>
    <w:p w:rsidR="005E455D" w:rsidRDefault="005E455D" w:rsidP="005E455D">
      <w:pPr>
        <w:jc w:val="both"/>
      </w:pPr>
    </w:p>
    <w:p w:rsidR="005E455D" w:rsidRDefault="005E455D" w:rsidP="005E455D">
      <w:pPr>
        <w:jc w:val="both"/>
      </w:pPr>
    </w:p>
    <w:p w:rsidR="005E455D" w:rsidRDefault="005E455D" w:rsidP="005E455D">
      <w:pPr>
        <w:jc w:val="both"/>
      </w:pPr>
    </w:p>
    <w:p w:rsidR="005E455D" w:rsidRDefault="005E455D" w:rsidP="005E455D">
      <w:pPr>
        <w:jc w:val="both"/>
      </w:pPr>
    </w:p>
    <w:p w:rsidR="005E455D" w:rsidRDefault="005E455D" w:rsidP="005E455D">
      <w:pPr>
        <w:ind w:right="-153"/>
        <w:jc w:val="both"/>
        <w:rPr>
          <w:b/>
          <w:szCs w:val="24"/>
        </w:rPr>
      </w:pPr>
      <w:r w:rsidRPr="00717FB7">
        <w:rPr>
          <w:b/>
          <w:szCs w:val="24"/>
        </w:rPr>
        <w:lastRenderedPageBreak/>
        <w:t>Total investments analysed by asset type</w:t>
      </w:r>
      <w:r>
        <w:rPr>
          <w:b/>
          <w:szCs w:val="24"/>
        </w:rPr>
        <w:t xml:space="preserve"> (March 2017)</w:t>
      </w:r>
    </w:p>
    <w:p w:rsidR="00F63EFC" w:rsidRPr="00717FB7" w:rsidRDefault="00F63EFC" w:rsidP="005E455D">
      <w:pPr>
        <w:ind w:right="-153"/>
        <w:jc w:val="both"/>
        <w:rPr>
          <w:b/>
          <w:szCs w:val="24"/>
        </w:rPr>
      </w:pPr>
    </w:p>
    <w:p w:rsidR="005E455D" w:rsidRDefault="005E455D" w:rsidP="005E455D">
      <w:pPr>
        <w:jc w:val="both"/>
      </w:pPr>
    </w:p>
    <w:p w:rsidR="005E455D" w:rsidRDefault="00F63EFC" w:rsidP="005E455D">
      <w:pPr>
        <w:jc w:val="both"/>
      </w:pPr>
      <w:r>
        <w:rPr>
          <w:noProof/>
          <w:szCs w:val="24"/>
        </w:rPr>
        <w:t xml:space="preserve">                                   </w:t>
      </w:r>
      <w:r w:rsidR="005E455D">
        <w:rPr>
          <w:noProof/>
          <w:szCs w:val="24"/>
        </w:rPr>
        <w:drawing>
          <wp:inline distT="0" distB="0" distL="0" distR="0">
            <wp:extent cx="2647784" cy="19118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20346" cy="1964231"/>
                    </a:xfrm>
                    <a:prstGeom prst="rect">
                      <a:avLst/>
                    </a:prstGeom>
                    <a:noFill/>
                  </pic:spPr>
                </pic:pic>
              </a:graphicData>
            </a:graphic>
          </wp:inline>
        </w:drawing>
      </w:r>
    </w:p>
    <w:p w:rsidR="005E455D" w:rsidRDefault="005E455D" w:rsidP="005E455D">
      <w:pPr>
        <w:jc w:val="both"/>
      </w:pPr>
    </w:p>
    <w:p w:rsidR="005E455D" w:rsidRDefault="005E455D" w:rsidP="005E455D">
      <w:pPr>
        <w:jc w:val="both"/>
      </w:pPr>
    </w:p>
    <w:p w:rsidR="005E455D" w:rsidRPr="00C82C8E" w:rsidRDefault="005E455D" w:rsidP="005E455D">
      <w:pPr>
        <w:jc w:val="both"/>
      </w:pPr>
      <w:r w:rsidRPr="000257AD">
        <w:t>The total amount of investments (excluding fair value adjustment) held by</w:t>
      </w:r>
      <w:r>
        <w:t xml:space="preserve"> the</w:t>
      </w:r>
      <w:r w:rsidRPr="000257AD">
        <w:t xml:space="preserve"> County Council at 31</w:t>
      </w:r>
      <w:r>
        <w:t xml:space="preserve"> </w:t>
      </w:r>
      <w:r w:rsidRPr="000257AD">
        <w:t>March 201</w:t>
      </w:r>
      <w:r>
        <w:t>7</w:t>
      </w:r>
      <w:r w:rsidRPr="000257AD">
        <w:t xml:space="preserve"> </w:t>
      </w:r>
      <w:r>
        <w:t>wa</w:t>
      </w:r>
      <w:r w:rsidRPr="000257AD">
        <w:t>s £574.53m.  This is £2.99m lower than at 31 March 2016. The table below shows the holding of investments</w:t>
      </w:r>
      <w:r w:rsidRPr="006D4376">
        <w:t>:</w:t>
      </w:r>
    </w:p>
    <w:p w:rsidR="005E455D" w:rsidRDefault="005E455D" w:rsidP="005E455D">
      <w:pPr>
        <w:ind w:right="-153"/>
        <w:jc w:val="both"/>
        <w:rPr>
          <w:b/>
          <w:szCs w:val="24"/>
        </w:rPr>
      </w:pPr>
    </w:p>
    <w:p w:rsidR="005E455D" w:rsidRPr="00AD63C5" w:rsidRDefault="005E455D" w:rsidP="005E455D">
      <w:pPr>
        <w:ind w:right="-153"/>
        <w:jc w:val="both"/>
        <w:rPr>
          <w:b/>
          <w:szCs w:val="24"/>
        </w:rPr>
      </w:pPr>
      <w:r w:rsidRPr="00AD63C5">
        <w:rPr>
          <w:b/>
          <w:szCs w:val="24"/>
        </w:rPr>
        <w:t xml:space="preserve">Investments by Maturity </w:t>
      </w:r>
    </w:p>
    <w:p w:rsidR="005E455D" w:rsidRDefault="005E455D" w:rsidP="005E455D">
      <w:pPr>
        <w:jc w:val="both"/>
        <w:rPr>
          <w:highlight w:val="yellow"/>
        </w:rPr>
      </w:pPr>
    </w:p>
    <w:tbl>
      <w:tblPr>
        <w:tblW w:w="9073" w:type="dxa"/>
        <w:tblInd w:w="-10" w:type="dxa"/>
        <w:tblLook w:val="04A0" w:firstRow="1" w:lastRow="0" w:firstColumn="1" w:lastColumn="0" w:noHBand="0" w:noVBand="1"/>
      </w:tblPr>
      <w:tblGrid>
        <w:gridCol w:w="4820"/>
        <w:gridCol w:w="1276"/>
        <w:gridCol w:w="1403"/>
        <w:gridCol w:w="1574"/>
      </w:tblGrid>
      <w:tr w:rsidR="00CA6A90" w:rsidTr="005E455D">
        <w:trPr>
          <w:trHeight w:val="437"/>
        </w:trPr>
        <w:tc>
          <w:tcPr>
            <w:tcW w:w="4820" w:type="dxa"/>
            <w:tcBorders>
              <w:top w:val="single" w:sz="8" w:space="0" w:color="000000"/>
              <w:left w:val="single" w:sz="8" w:space="0" w:color="000000"/>
              <w:bottom w:val="nil"/>
              <w:right w:val="single" w:sz="8" w:space="0" w:color="000000"/>
            </w:tcBorders>
            <w:shd w:val="clear" w:color="auto" w:fill="auto"/>
            <w:noWrap/>
            <w:vAlign w:val="center"/>
            <w:hideMark/>
          </w:tcPr>
          <w:p w:rsidR="005E455D" w:rsidRPr="00C954AA" w:rsidRDefault="005E455D" w:rsidP="005E455D">
            <w:pPr>
              <w:rPr>
                <w:rFonts w:ascii="Times New Roman" w:hAnsi="Times New Roman"/>
                <w:color w:val="000000"/>
                <w:sz w:val="20"/>
              </w:rPr>
            </w:pPr>
            <w:r w:rsidRPr="00C954AA">
              <w:rPr>
                <w:rFonts w:ascii="Times New Roman" w:hAnsi="Times New Roman"/>
                <w:color w:val="000000"/>
                <w:sz w:val="20"/>
              </w:rPr>
              <w:t> </w:t>
            </w:r>
          </w:p>
        </w:tc>
        <w:tc>
          <w:tcPr>
            <w:tcW w:w="1276" w:type="dxa"/>
            <w:tcBorders>
              <w:top w:val="single" w:sz="8" w:space="0" w:color="000000"/>
              <w:left w:val="nil"/>
              <w:bottom w:val="nil"/>
              <w:right w:val="single" w:sz="8" w:space="0" w:color="000000"/>
            </w:tcBorders>
            <w:shd w:val="clear" w:color="auto" w:fill="auto"/>
            <w:noWrap/>
            <w:vAlign w:val="center"/>
            <w:hideMark/>
          </w:tcPr>
          <w:p w:rsidR="005E455D" w:rsidRPr="00C954AA" w:rsidRDefault="005E455D" w:rsidP="005E455D">
            <w:pPr>
              <w:jc w:val="center"/>
              <w:rPr>
                <w:rFonts w:cs="Arial"/>
                <w:b/>
                <w:bCs/>
                <w:color w:val="000000"/>
                <w:sz w:val="20"/>
              </w:rPr>
            </w:pPr>
            <w:r w:rsidRPr="00C954AA">
              <w:rPr>
                <w:rFonts w:cs="Arial"/>
                <w:b/>
                <w:bCs/>
                <w:color w:val="000000"/>
                <w:sz w:val="20"/>
              </w:rPr>
              <w:t>Position as at 31/3/16</w:t>
            </w:r>
          </w:p>
        </w:tc>
        <w:tc>
          <w:tcPr>
            <w:tcW w:w="1403" w:type="dxa"/>
            <w:tcBorders>
              <w:top w:val="single" w:sz="8" w:space="0" w:color="000000"/>
              <w:left w:val="nil"/>
              <w:bottom w:val="nil"/>
              <w:right w:val="single" w:sz="8" w:space="0" w:color="000000"/>
            </w:tcBorders>
            <w:shd w:val="clear" w:color="auto" w:fill="auto"/>
            <w:noWrap/>
            <w:vAlign w:val="center"/>
            <w:hideMark/>
          </w:tcPr>
          <w:p w:rsidR="005E455D" w:rsidRPr="00C954AA" w:rsidRDefault="005E455D" w:rsidP="005E455D">
            <w:pPr>
              <w:jc w:val="center"/>
              <w:rPr>
                <w:rFonts w:cs="Arial"/>
                <w:b/>
                <w:bCs/>
                <w:color w:val="000000"/>
                <w:sz w:val="20"/>
              </w:rPr>
            </w:pPr>
            <w:r w:rsidRPr="00C954AA">
              <w:rPr>
                <w:rFonts w:cs="Arial"/>
                <w:b/>
                <w:bCs/>
                <w:color w:val="000000"/>
                <w:sz w:val="20"/>
              </w:rPr>
              <w:t>2016/17 Movement</w:t>
            </w:r>
          </w:p>
        </w:tc>
        <w:tc>
          <w:tcPr>
            <w:tcW w:w="1574" w:type="dxa"/>
            <w:tcBorders>
              <w:top w:val="single" w:sz="8" w:space="0" w:color="000000"/>
              <w:left w:val="nil"/>
              <w:bottom w:val="nil"/>
              <w:right w:val="single" w:sz="8" w:space="0" w:color="000000"/>
            </w:tcBorders>
            <w:shd w:val="clear" w:color="auto" w:fill="auto"/>
            <w:noWrap/>
            <w:vAlign w:val="center"/>
            <w:hideMark/>
          </w:tcPr>
          <w:p w:rsidR="005E455D" w:rsidRPr="00C954AA" w:rsidRDefault="005E455D" w:rsidP="005E455D">
            <w:pPr>
              <w:jc w:val="center"/>
              <w:rPr>
                <w:rFonts w:cs="Arial"/>
                <w:b/>
                <w:bCs/>
                <w:color w:val="000000"/>
                <w:sz w:val="20"/>
              </w:rPr>
            </w:pPr>
            <w:r w:rsidRPr="00C954AA">
              <w:rPr>
                <w:rFonts w:cs="Arial"/>
                <w:b/>
                <w:bCs/>
                <w:color w:val="000000"/>
                <w:sz w:val="20"/>
              </w:rPr>
              <w:t>Position as at 31/3/17</w:t>
            </w:r>
          </w:p>
        </w:tc>
      </w:tr>
      <w:tr w:rsidR="00CA6A90" w:rsidTr="005E455D">
        <w:trPr>
          <w:trHeight w:val="458"/>
        </w:trPr>
        <w:tc>
          <w:tcPr>
            <w:tcW w:w="4820"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C954AA" w:rsidRDefault="005E455D" w:rsidP="005E455D">
            <w:pPr>
              <w:rPr>
                <w:rFonts w:cs="Arial"/>
                <w:b/>
                <w:bCs/>
                <w:color w:val="000000"/>
                <w:sz w:val="20"/>
              </w:rPr>
            </w:pPr>
            <w:r w:rsidRPr="00C954AA">
              <w:rPr>
                <w:rFonts w:cs="Arial"/>
                <w:b/>
                <w:bCs/>
                <w:color w:val="000000"/>
                <w:sz w:val="20"/>
              </w:rPr>
              <w:t>Maturity Range</w:t>
            </w:r>
          </w:p>
        </w:tc>
        <w:tc>
          <w:tcPr>
            <w:tcW w:w="1276"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b/>
                <w:bCs/>
                <w:color w:val="000000"/>
                <w:sz w:val="20"/>
              </w:rPr>
            </w:pPr>
            <w:r w:rsidRPr="00C954AA">
              <w:rPr>
                <w:rFonts w:cs="Arial"/>
                <w:b/>
                <w:bCs/>
                <w:color w:val="000000"/>
                <w:sz w:val="20"/>
              </w:rPr>
              <w:t>£m</w:t>
            </w:r>
          </w:p>
        </w:tc>
        <w:tc>
          <w:tcPr>
            <w:tcW w:w="1403"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b/>
                <w:bCs/>
                <w:color w:val="000000"/>
                <w:sz w:val="20"/>
              </w:rPr>
            </w:pPr>
            <w:r w:rsidRPr="00C954AA">
              <w:rPr>
                <w:rFonts w:cs="Arial"/>
                <w:b/>
                <w:bCs/>
                <w:color w:val="000000"/>
                <w:sz w:val="20"/>
              </w:rPr>
              <w:t>£m</w:t>
            </w:r>
          </w:p>
        </w:tc>
        <w:tc>
          <w:tcPr>
            <w:tcW w:w="1574"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b/>
                <w:bCs/>
                <w:color w:val="000000"/>
                <w:sz w:val="20"/>
              </w:rPr>
            </w:pPr>
            <w:r w:rsidRPr="00C954AA">
              <w:rPr>
                <w:rFonts w:cs="Arial"/>
                <w:b/>
                <w:bCs/>
                <w:color w:val="000000"/>
                <w:sz w:val="20"/>
              </w:rPr>
              <w:t>£m</w:t>
            </w:r>
          </w:p>
        </w:tc>
      </w:tr>
      <w:tr w:rsidR="00CA6A90" w:rsidTr="005E455D">
        <w:trPr>
          <w:trHeight w:val="437"/>
        </w:trPr>
        <w:tc>
          <w:tcPr>
            <w:tcW w:w="4820"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C954AA" w:rsidRDefault="005E455D" w:rsidP="005E455D">
            <w:pPr>
              <w:rPr>
                <w:rFonts w:cs="Arial"/>
                <w:color w:val="000000"/>
                <w:sz w:val="20"/>
              </w:rPr>
            </w:pPr>
            <w:r w:rsidRPr="00C954AA">
              <w:rPr>
                <w:rFonts w:cs="Arial"/>
                <w:color w:val="000000"/>
                <w:sz w:val="20"/>
              </w:rPr>
              <w:t>Call, Money Market Funds &amp; Under 1</w:t>
            </w:r>
            <w:r>
              <w:rPr>
                <w:rFonts w:cs="Arial"/>
                <w:color w:val="000000"/>
                <w:sz w:val="20"/>
              </w:rPr>
              <w:t xml:space="preserve"> </w:t>
            </w:r>
            <w:r w:rsidRPr="00C954AA">
              <w:rPr>
                <w:rFonts w:cs="Arial"/>
                <w:color w:val="000000"/>
                <w:sz w:val="20"/>
              </w:rPr>
              <w:t>y</w:t>
            </w:r>
            <w:r>
              <w:rPr>
                <w:rFonts w:cs="Arial"/>
                <w:color w:val="000000"/>
                <w:sz w:val="20"/>
              </w:rPr>
              <w:t>ea</w:t>
            </w:r>
            <w:r w:rsidRPr="00C954AA">
              <w:rPr>
                <w:rFonts w:cs="Arial"/>
                <w:color w:val="000000"/>
                <w:sz w:val="20"/>
              </w:rPr>
              <w:t>r</w:t>
            </w:r>
          </w:p>
        </w:tc>
        <w:tc>
          <w:tcPr>
            <w:tcW w:w="1276"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20.71</w:t>
            </w:r>
          </w:p>
        </w:tc>
        <w:tc>
          <w:tcPr>
            <w:tcW w:w="1403"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 xml:space="preserve">126.99 </w:t>
            </w:r>
          </w:p>
        </w:tc>
        <w:tc>
          <w:tcPr>
            <w:tcW w:w="1574"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 xml:space="preserve"> 147.70 </w:t>
            </w:r>
          </w:p>
        </w:tc>
      </w:tr>
      <w:tr w:rsidR="00CA6A90" w:rsidTr="005E455D">
        <w:trPr>
          <w:trHeight w:val="437"/>
        </w:trPr>
        <w:tc>
          <w:tcPr>
            <w:tcW w:w="4820"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C954AA" w:rsidRDefault="005E455D" w:rsidP="005E455D">
            <w:pPr>
              <w:rPr>
                <w:rFonts w:cs="Arial"/>
                <w:color w:val="000000"/>
                <w:sz w:val="20"/>
              </w:rPr>
            </w:pPr>
            <w:r w:rsidRPr="00C954AA">
              <w:rPr>
                <w:rFonts w:cs="Arial"/>
                <w:color w:val="000000"/>
                <w:sz w:val="20"/>
              </w:rPr>
              <w:t xml:space="preserve">Bank Deposit 1-2 </w:t>
            </w:r>
            <w:r>
              <w:rPr>
                <w:rFonts w:cs="Arial"/>
                <w:color w:val="000000"/>
                <w:sz w:val="20"/>
              </w:rPr>
              <w:t>y</w:t>
            </w:r>
            <w:r w:rsidRPr="00C954AA">
              <w:rPr>
                <w:rFonts w:cs="Arial"/>
                <w:color w:val="000000"/>
                <w:sz w:val="20"/>
              </w:rPr>
              <w:t>ears</w:t>
            </w:r>
          </w:p>
        </w:tc>
        <w:tc>
          <w:tcPr>
            <w:tcW w:w="1276"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 xml:space="preserve">-  </w:t>
            </w:r>
          </w:p>
        </w:tc>
        <w:tc>
          <w:tcPr>
            <w:tcW w:w="1403"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 xml:space="preserve">36.50 </w:t>
            </w:r>
          </w:p>
        </w:tc>
        <w:tc>
          <w:tcPr>
            <w:tcW w:w="1574"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rPr>
                <w:rFonts w:cs="Arial"/>
                <w:color w:val="000000"/>
                <w:sz w:val="20"/>
              </w:rPr>
            </w:pPr>
            <w:r w:rsidRPr="00C954AA">
              <w:rPr>
                <w:rFonts w:cs="Arial"/>
                <w:color w:val="000000"/>
                <w:sz w:val="20"/>
              </w:rPr>
              <w:t xml:space="preserve">     </w:t>
            </w:r>
            <w:r>
              <w:rPr>
                <w:rFonts w:cs="Arial"/>
                <w:color w:val="000000"/>
                <w:sz w:val="20"/>
              </w:rPr>
              <w:t xml:space="preserve"> </w:t>
            </w:r>
            <w:r w:rsidRPr="00C954AA">
              <w:rPr>
                <w:rFonts w:cs="Arial"/>
                <w:color w:val="000000"/>
                <w:sz w:val="20"/>
              </w:rPr>
              <w:t xml:space="preserve">  36.50 </w:t>
            </w:r>
          </w:p>
        </w:tc>
      </w:tr>
      <w:tr w:rsidR="00CA6A90" w:rsidTr="005E455D">
        <w:trPr>
          <w:trHeight w:val="437"/>
        </w:trPr>
        <w:tc>
          <w:tcPr>
            <w:tcW w:w="4820" w:type="dxa"/>
            <w:tcBorders>
              <w:top w:val="nil"/>
              <w:left w:val="single" w:sz="8" w:space="0" w:color="000000"/>
              <w:bottom w:val="single" w:sz="8" w:space="0" w:color="auto"/>
              <w:right w:val="single" w:sz="8" w:space="0" w:color="000000"/>
            </w:tcBorders>
            <w:shd w:val="clear" w:color="auto" w:fill="auto"/>
            <w:noWrap/>
            <w:vAlign w:val="center"/>
            <w:hideMark/>
          </w:tcPr>
          <w:p w:rsidR="005E455D" w:rsidRPr="00C954AA" w:rsidRDefault="005E455D" w:rsidP="005E455D">
            <w:pPr>
              <w:rPr>
                <w:rFonts w:cs="Arial"/>
                <w:color w:val="000000"/>
                <w:sz w:val="20"/>
              </w:rPr>
            </w:pPr>
            <w:r w:rsidRPr="00C954AA">
              <w:rPr>
                <w:rFonts w:cs="Arial"/>
                <w:color w:val="000000"/>
                <w:sz w:val="20"/>
              </w:rPr>
              <w:t>Bank &amp; Local Authority Deposits 2-3 years</w:t>
            </w:r>
          </w:p>
        </w:tc>
        <w:tc>
          <w:tcPr>
            <w:tcW w:w="1276"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36.5</w:t>
            </w:r>
            <w:r>
              <w:rPr>
                <w:rFonts w:cs="Arial"/>
                <w:color w:val="000000"/>
                <w:sz w:val="20"/>
              </w:rPr>
              <w:t>0</w:t>
            </w:r>
          </w:p>
        </w:tc>
        <w:tc>
          <w:tcPr>
            <w:tcW w:w="1403"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 xml:space="preserve">-36.50 </w:t>
            </w:r>
          </w:p>
        </w:tc>
        <w:tc>
          <w:tcPr>
            <w:tcW w:w="1574"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 xml:space="preserve">-                     </w:t>
            </w:r>
          </w:p>
        </w:tc>
      </w:tr>
      <w:tr w:rsidR="00CA6A90" w:rsidTr="005E455D">
        <w:trPr>
          <w:trHeight w:val="437"/>
        </w:trPr>
        <w:tc>
          <w:tcPr>
            <w:tcW w:w="4820"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C954AA" w:rsidRDefault="005E455D" w:rsidP="005E455D">
            <w:pPr>
              <w:rPr>
                <w:rFonts w:cs="Arial"/>
                <w:color w:val="000000"/>
                <w:sz w:val="20"/>
              </w:rPr>
            </w:pPr>
            <w:r w:rsidRPr="00C954AA">
              <w:rPr>
                <w:rFonts w:cs="Arial"/>
                <w:color w:val="000000"/>
                <w:sz w:val="20"/>
              </w:rPr>
              <w:t xml:space="preserve">Bank Deposit 5 </w:t>
            </w:r>
            <w:r>
              <w:rPr>
                <w:rFonts w:cs="Arial"/>
                <w:color w:val="000000"/>
                <w:sz w:val="20"/>
              </w:rPr>
              <w:t>y</w:t>
            </w:r>
            <w:r w:rsidRPr="00C954AA">
              <w:rPr>
                <w:rFonts w:cs="Arial"/>
                <w:color w:val="000000"/>
                <w:sz w:val="20"/>
              </w:rPr>
              <w:t>ears +</w:t>
            </w:r>
          </w:p>
        </w:tc>
        <w:tc>
          <w:tcPr>
            <w:tcW w:w="1276"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10.00</w:t>
            </w:r>
          </w:p>
        </w:tc>
        <w:tc>
          <w:tcPr>
            <w:tcW w:w="1403"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 xml:space="preserve">-  </w:t>
            </w:r>
          </w:p>
        </w:tc>
        <w:tc>
          <w:tcPr>
            <w:tcW w:w="1574"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rPr>
                <w:rFonts w:cs="Arial"/>
                <w:color w:val="000000"/>
                <w:sz w:val="20"/>
              </w:rPr>
            </w:pPr>
            <w:r w:rsidRPr="00C954AA">
              <w:rPr>
                <w:rFonts w:cs="Arial"/>
                <w:color w:val="000000"/>
                <w:sz w:val="20"/>
              </w:rPr>
              <w:t xml:space="preserve">    </w:t>
            </w:r>
            <w:r>
              <w:rPr>
                <w:rFonts w:cs="Arial"/>
                <w:color w:val="000000"/>
                <w:sz w:val="20"/>
              </w:rPr>
              <w:t xml:space="preserve"> </w:t>
            </w:r>
            <w:r w:rsidRPr="00C954AA">
              <w:rPr>
                <w:rFonts w:cs="Arial"/>
                <w:color w:val="000000"/>
                <w:sz w:val="20"/>
              </w:rPr>
              <w:t xml:space="preserve">  10.00 </w:t>
            </w:r>
          </w:p>
        </w:tc>
      </w:tr>
      <w:tr w:rsidR="00CA6A90" w:rsidTr="005E455D">
        <w:trPr>
          <w:trHeight w:val="437"/>
        </w:trPr>
        <w:tc>
          <w:tcPr>
            <w:tcW w:w="4820"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C954AA" w:rsidRDefault="005E455D" w:rsidP="005E455D">
            <w:pPr>
              <w:rPr>
                <w:rFonts w:cs="Arial"/>
                <w:color w:val="000000"/>
                <w:sz w:val="20"/>
              </w:rPr>
            </w:pPr>
            <w:r w:rsidRPr="00C954AA">
              <w:rPr>
                <w:rFonts w:cs="Arial"/>
                <w:color w:val="000000"/>
                <w:sz w:val="20"/>
              </w:rPr>
              <w:t>Local Authority Bonds</w:t>
            </w:r>
          </w:p>
        </w:tc>
        <w:tc>
          <w:tcPr>
            <w:tcW w:w="1276"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36.45</w:t>
            </w:r>
          </w:p>
        </w:tc>
        <w:tc>
          <w:tcPr>
            <w:tcW w:w="1403"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 xml:space="preserve">-0.60 </w:t>
            </w:r>
          </w:p>
        </w:tc>
        <w:tc>
          <w:tcPr>
            <w:tcW w:w="1574"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rPr>
                <w:rFonts w:cs="Arial"/>
                <w:color w:val="000000"/>
                <w:sz w:val="20"/>
              </w:rPr>
            </w:pPr>
            <w:r w:rsidRPr="00C954AA">
              <w:rPr>
                <w:rFonts w:cs="Arial"/>
                <w:color w:val="000000"/>
                <w:sz w:val="20"/>
              </w:rPr>
              <w:t xml:space="preserve">    </w:t>
            </w:r>
            <w:r>
              <w:rPr>
                <w:rFonts w:cs="Arial"/>
                <w:color w:val="000000"/>
                <w:sz w:val="20"/>
              </w:rPr>
              <w:t xml:space="preserve"> </w:t>
            </w:r>
            <w:r w:rsidRPr="00C954AA">
              <w:rPr>
                <w:rFonts w:cs="Arial"/>
                <w:color w:val="000000"/>
                <w:sz w:val="20"/>
              </w:rPr>
              <w:t xml:space="preserve">  35.85 </w:t>
            </w:r>
          </w:p>
        </w:tc>
      </w:tr>
      <w:tr w:rsidR="00CA6A90" w:rsidTr="005E455D">
        <w:trPr>
          <w:trHeight w:val="437"/>
        </w:trPr>
        <w:tc>
          <w:tcPr>
            <w:tcW w:w="4820"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C954AA" w:rsidRDefault="005E455D" w:rsidP="005E455D">
            <w:pPr>
              <w:rPr>
                <w:rFonts w:cs="Arial"/>
                <w:color w:val="000000"/>
                <w:sz w:val="20"/>
              </w:rPr>
            </w:pPr>
            <w:r w:rsidRPr="00C954AA">
              <w:rPr>
                <w:rFonts w:cs="Arial"/>
                <w:color w:val="000000"/>
                <w:sz w:val="20"/>
              </w:rPr>
              <w:t>UK Government and Supranational Bonds</w:t>
            </w:r>
          </w:p>
        </w:tc>
        <w:tc>
          <w:tcPr>
            <w:tcW w:w="1276"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473.86</w:t>
            </w:r>
          </w:p>
        </w:tc>
        <w:tc>
          <w:tcPr>
            <w:tcW w:w="1403"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color w:val="000000"/>
                <w:sz w:val="20"/>
              </w:rPr>
            </w:pPr>
            <w:r w:rsidRPr="00C954AA">
              <w:rPr>
                <w:rFonts w:cs="Arial"/>
                <w:color w:val="000000"/>
                <w:sz w:val="20"/>
              </w:rPr>
              <w:t xml:space="preserve">-129.38 </w:t>
            </w:r>
          </w:p>
        </w:tc>
        <w:tc>
          <w:tcPr>
            <w:tcW w:w="1574"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rPr>
                <w:rFonts w:cs="Arial"/>
                <w:color w:val="000000"/>
                <w:sz w:val="20"/>
              </w:rPr>
            </w:pPr>
            <w:r w:rsidRPr="00C954AA">
              <w:rPr>
                <w:rFonts w:cs="Arial"/>
                <w:color w:val="000000"/>
                <w:sz w:val="20"/>
              </w:rPr>
              <w:t xml:space="preserve">   </w:t>
            </w:r>
            <w:r>
              <w:rPr>
                <w:rFonts w:cs="Arial"/>
                <w:color w:val="000000"/>
                <w:sz w:val="20"/>
              </w:rPr>
              <w:t xml:space="preserve"> </w:t>
            </w:r>
            <w:r w:rsidRPr="00C954AA">
              <w:rPr>
                <w:rFonts w:cs="Arial"/>
                <w:color w:val="000000"/>
                <w:sz w:val="20"/>
              </w:rPr>
              <w:t xml:space="preserve">  344.48 </w:t>
            </w:r>
          </w:p>
        </w:tc>
      </w:tr>
      <w:tr w:rsidR="00CA6A90" w:rsidTr="005E455D">
        <w:trPr>
          <w:trHeight w:val="458"/>
        </w:trPr>
        <w:tc>
          <w:tcPr>
            <w:tcW w:w="4820"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C954AA" w:rsidRDefault="005E455D" w:rsidP="005E455D">
            <w:pPr>
              <w:jc w:val="both"/>
              <w:rPr>
                <w:rFonts w:cs="Arial"/>
                <w:b/>
                <w:bCs/>
                <w:color w:val="000000"/>
                <w:sz w:val="20"/>
              </w:rPr>
            </w:pPr>
            <w:r w:rsidRPr="00C954AA">
              <w:rPr>
                <w:rFonts w:cs="Arial"/>
                <w:b/>
                <w:bCs/>
                <w:color w:val="000000"/>
                <w:sz w:val="20"/>
              </w:rPr>
              <w:t>Total</w:t>
            </w:r>
          </w:p>
        </w:tc>
        <w:tc>
          <w:tcPr>
            <w:tcW w:w="1276"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b/>
                <w:bCs/>
                <w:color w:val="000000"/>
                <w:sz w:val="20"/>
              </w:rPr>
            </w:pPr>
            <w:r w:rsidRPr="00C954AA">
              <w:rPr>
                <w:rFonts w:cs="Arial"/>
                <w:b/>
                <w:bCs/>
                <w:color w:val="000000"/>
                <w:sz w:val="20"/>
              </w:rPr>
              <w:t>577.52</w:t>
            </w:r>
          </w:p>
        </w:tc>
        <w:tc>
          <w:tcPr>
            <w:tcW w:w="1403"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jc w:val="center"/>
              <w:rPr>
                <w:rFonts w:cs="Arial"/>
                <w:b/>
                <w:bCs/>
                <w:color w:val="000000"/>
                <w:sz w:val="20"/>
              </w:rPr>
            </w:pPr>
            <w:r w:rsidRPr="00C954AA">
              <w:rPr>
                <w:rFonts w:cs="Arial"/>
                <w:b/>
                <w:bCs/>
                <w:color w:val="000000"/>
                <w:sz w:val="20"/>
              </w:rPr>
              <w:t xml:space="preserve">-2.99 </w:t>
            </w:r>
          </w:p>
        </w:tc>
        <w:tc>
          <w:tcPr>
            <w:tcW w:w="1574" w:type="dxa"/>
            <w:tcBorders>
              <w:top w:val="nil"/>
              <w:left w:val="nil"/>
              <w:bottom w:val="single" w:sz="8" w:space="0" w:color="000000"/>
              <w:right w:val="single" w:sz="8" w:space="0" w:color="000000"/>
            </w:tcBorders>
            <w:shd w:val="clear" w:color="auto" w:fill="auto"/>
            <w:noWrap/>
            <w:vAlign w:val="center"/>
            <w:hideMark/>
          </w:tcPr>
          <w:p w:rsidR="005E455D" w:rsidRPr="00C954AA" w:rsidRDefault="005E455D" w:rsidP="005E455D">
            <w:pPr>
              <w:rPr>
                <w:rFonts w:cs="Arial"/>
                <w:b/>
                <w:bCs/>
                <w:color w:val="000000"/>
                <w:sz w:val="20"/>
              </w:rPr>
            </w:pPr>
            <w:r w:rsidRPr="00C954AA">
              <w:rPr>
                <w:rFonts w:cs="Arial"/>
                <w:b/>
                <w:bCs/>
                <w:color w:val="000000"/>
                <w:sz w:val="20"/>
              </w:rPr>
              <w:t xml:space="preserve">  </w:t>
            </w:r>
            <w:r>
              <w:rPr>
                <w:rFonts w:cs="Arial"/>
                <w:b/>
                <w:bCs/>
                <w:color w:val="000000"/>
                <w:sz w:val="20"/>
              </w:rPr>
              <w:t xml:space="preserve"> </w:t>
            </w:r>
            <w:r w:rsidRPr="00C954AA">
              <w:rPr>
                <w:rFonts w:cs="Arial"/>
                <w:b/>
                <w:bCs/>
                <w:color w:val="000000"/>
                <w:sz w:val="20"/>
              </w:rPr>
              <w:t xml:space="preserve">   574.53 </w:t>
            </w:r>
          </w:p>
        </w:tc>
      </w:tr>
    </w:tbl>
    <w:p w:rsidR="005E455D" w:rsidRDefault="005E455D" w:rsidP="005E455D">
      <w:pPr>
        <w:ind w:right="-153"/>
        <w:jc w:val="both"/>
        <w:rPr>
          <w:b/>
          <w:szCs w:val="24"/>
        </w:rPr>
      </w:pPr>
    </w:p>
    <w:p w:rsidR="005E455D" w:rsidRPr="00AD63C5" w:rsidRDefault="005E455D" w:rsidP="005E455D">
      <w:pPr>
        <w:ind w:right="-153"/>
        <w:jc w:val="both"/>
        <w:rPr>
          <w:b/>
          <w:szCs w:val="24"/>
        </w:rPr>
      </w:pPr>
    </w:p>
    <w:p w:rsidR="005E455D" w:rsidRPr="00AD63C5" w:rsidRDefault="005E455D" w:rsidP="005E455D">
      <w:pPr>
        <w:ind w:right="-153"/>
        <w:jc w:val="both"/>
      </w:pPr>
      <w:r w:rsidRPr="00AD63C5">
        <w:t>The graph below shows the maturity dates of assets against their exposure to bail-in risk in the event of a bank default (i.e. the risk that the investment may be lost or the principal repaid significantly reduced). The Council has been moving away from unsecured bank deposits as an asset class and apart from on</w:t>
      </w:r>
      <w:r w:rsidR="00481E87">
        <w:t>-</w:t>
      </w:r>
      <w:r w:rsidRPr="00AD63C5">
        <w:t>call balances they no longer form an allowable investment class under the 2016/17 Treasury Management Policy.</w:t>
      </w:r>
    </w:p>
    <w:p w:rsidR="005E455D" w:rsidRDefault="005E455D" w:rsidP="005E455D">
      <w:pPr>
        <w:ind w:right="-153"/>
        <w:jc w:val="both"/>
        <w:rPr>
          <w:highlight w:val="yellow"/>
        </w:rPr>
      </w:pPr>
    </w:p>
    <w:p w:rsidR="005E455D" w:rsidRPr="000F6DF0" w:rsidRDefault="005E455D" w:rsidP="005E455D">
      <w:pPr>
        <w:ind w:right="-153"/>
        <w:jc w:val="both"/>
        <w:rPr>
          <w:highlight w:val="yellow"/>
        </w:rPr>
      </w:pPr>
    </w:p>
    <w:p w:rsidR="005E455D" w:rsidRPr="000F6DF0" w:rsidRDefault="005E455D" w:rsidP="005E455D">
      <w:pPr>
        <w:ind w:right="-153"/>
        <w:jc w:val="center"/>
        <w:rPr>
          <w:noProof/>
          <w:highlight w:val="yellow"/>
        </w:rPr>
      </w:pPr>
      <w:r>
        <w:rPr>
          <w:noProof/>
        </w:rPr>
        <w:lastRenderedPageBreak/>
        <w:drawing>
          <wp:inline distT="0" distB="0" distL="0" distR="0">
            <wp:extent cx="4085112" cy="2269334"/>
            <wp:effectExtent l="19050" t="19050" r="10795" b="171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118801" cy="2288049"/>
                    </a:xfrm>
                    <a:prstGeom prst="rect">
                      <a:avLst/>
                    </a:prstGeom>
                    <a:noFill/>
                    <a:ln w="12700">
                      <a:solidFill>
                        <a:schemeClr val="tx1"/>
                      </a:solidFill>
                    </a:ln>
                  </pic:spPr>
                </pic:pic>
              </a:graphicData>
            </a:graphic>
          </wp:inline>
        </w:drawing>
      </w:r>
    </w:p>
    <w:p w:rsidR="005E455D" w:rsidRDefault="005E455D" w:rsidP="005E455D">
      <w:pPr>
        <w:ind w:right="-153"/>
        <w:jc w:val="both"/>
        <w:rPr>
          <w:b/>
          <w:szCs w:val="24"/>
        </w:rPr>
      </w:pPr>
    </w:p>
    <w:p w:rsidR="005E455D" w:rsidRPr="00B8625A" w:rsidRDefault="005E455D" w:rsidP="005E455D">
      <w:pPr>
        <w:autoSpaceDE w:val="0"/>
        <w:autoSpaceDN w:val="0"/>
        <w:adjustRightInd w:val="0"/>
        <w:jc w:val="both"/>
        <w:rPr>
          <w:rFonts w:cs="Arial"/>
          <w:color w:val="000000"/>
          <w:szCs w:val="24"/>
        </w:rPr>
      </w:pPr>
      <w:r w:rsidRPr="00B8625A">
        <w:rPr>
          <w:rFonts w:cs="Arial"/>
          <w:color w:val="000000"/>
          <w:szCs w:val="24"/>
        </w:rPr>
        <w:t>Investments are</w:t>
      </w:r>
      <w:r w:rsidR="00481E87">
        <w:rPr>
          <w:rFonts w:cs="Arial"/>
          <w:color w:val="000000"/>
          <w:szCs w:val="24"/>
        </w:rPr>
        <w:t xml:space="preserve"> considered</w:t>
      </w:r>
      <w:r w:rsidRPr="00B8625A">
        <w:rPr>
          <w:rFonts w:cs="Arial"/>
          <w:color w:val="000000"/>
          <w:szCs w:val="24"/>
        </w:rPr>
        <w:t xml:space="preserve"> very secure, with over 29% rated AAA or AA+, with the others rated at A or above. The average credit score of 2.46/AA+ is well within the policy limit of 5/A+.</w:t>
      </w:r>
    </w:p>
    <w:p w:rsidR="005E455D" w:rsidRPr="000F6DF0" w:rsidRDefault="005E455D" w:rsidP="005E455D">
      <w:pPr>
        <w:ind w:right="-153"/>
        <w:jc w:val="both"/>
        <w:rPr>
          <w:rFonts w:cs="Arial"/>
          <w:color w:val="000000"/>
          <w:szCs w:val="24"/>
          <w:highlight w:val="yellow"/>
        </w:rPr>
      </w:pPr>
    </w:p>
    <w:p w:rsidR="005E455D" w:rsidRPr="00AD63C5" w:rsidRDefault="005E455D" w:rsidP="005E455D">
      <w:pPr>
        <w:jc w:val="both"/>
      </w:pPr>
      <w:r w:rsidRPr="00AD63C5">
        <w:t>Security of capital remain</w:t>
      </w:r>
      <w:r>
        <w:t>ed</w:t>
      </w:r>
      <w:r w:rsidRPr="00AD63C5">
        <w:t xml:space="preserve"> the County Council’s main investment objective.  This was maintained by following the County Council’s Counterparty Policy, as set out in its Treasury Management Strategy Statement for 2016/17. This defined “high credit quality” organisations as those having a minimum long-term credit rating of A+</w:t>
      </w:r>
      <w:r>
        <w:t>.</w:t>
      </w:r>
      <w:r w:rsidRPr="00AD63C5">
        <w:t xml:space="preserve"> In practice the average credit rating in 2016/17 was higher at AA.  </w:t>
      </w:r>
    </w:p>
    <w:p w:rsidR="005E455D" w:rsidRPr="000F6DF0" w:rsidRDefault="005E455D" w:rsidP="005E455D">
      <w:pPr>
        <w:jc w:val="both"/>
        <w:rPr>
          <w:highlight w:val="yellow"/>
        </w:rPr>
      </w:pPr>
    </w:p>
    <w:p w:rsidR="005E455D" w:rsidRPr="00AD63C5" w:rsidRDefault="005E455D" w:rsidP="005E455D">
      <w:pPr>
        <w:jc w:val="both"/>
      </w:pPr>
      <w:r w:rsidRPr="00AD63C5">
        <w:t>Investments with banks were held in call accounts only. Any longer term deposits have been restricted to other local authorities.</w:t>
      </w:r>
      <w:r w:rsidR="00481E87">
        <w:t xml:space="preserve"> As at March 2017:</w:t>
      </w:r>
    </w:p>
    <w:p w:rsidR="005E455D" w:rsidRDefault="005E455D" w:rsidP="005E455D">
      <w:pPr>
        <w:jc w:val="both"/>
        <w:rPr>
          <w:b/>
          <w:szCs w:val="24"/>
          <w:highlight w:val="yellow"/>
        </w:rPr>
      </w:pPr>
    </w:p>
    <w:p w:rsidR="005E455D" w:rsidRPr="00717FB7" w:rsidRDefault="005E455D" w:rsidP="005E455D">
      <w:pPr>
        <w:ind w:right="-153"/>
        <w:jc w:val="both"/>
        <w:rPr>
          <w:b/>
          <w:szCs w:val="24"/>
        </w:rPr>
      </w:pPr>
      <w:r w:rsidRPr="0085445D">
        <w:rPr>
          <w:noProof/>
        </w:rPr>
        <w:t xml:space="preserve"> </w:t>
      </w:r>
      <w:r>
        <w:rPr>
          <w:noProof/>
        </w:rPr>
        <w:drawing>
          <wp:inline distT="0" distB="0" distL="0" distR="0">
            <wp:extent cx="2375065" cy="2223686"/>
            <wp:effectExtent l="19050" t="19050" r="25400" b="247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221" t="37025" r="47632" b="19474"/>
                    <a:stretch>
                      <a:fillRect/>
                    </a:stretch>
                  </pic:blipFill>
                  <pic:spPr bwMode="auto">
                    <a:xfrm>
                      <a:off x="0" y="0"/>
                      <a:ext cx="2496320" cy="233721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noProof/>
        </w:rPr>
        <w:drawing>
          <wp:inline distT="0" distB="0" distL="0" distR="0">
            <wp:extent cx="2659374" cy="2231959"/>
            <wp:effectExtent l="19050" t="19050" r="2730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327" t="41258" r="44853" b="21161"/>
                    <a:stretch>
                      <a:fillRect/>
                    </a:stretch>
                  </pic:blipFill>
                  <pic:spPr bwMode="auto">
                    <a:xfrm>
                      <a:off x="0" y="0"/>
                      <a:ext cx="2767728" cy="232289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E455D" w:rsidRDefault="005E455D" w:rsidP="005E455D">
      <w:pPr>
        <w:autoSpaceDE w:val="0"/>
        <w:autoSpaceDN w:val="0"/>
        <w:adjustRightInd w:val="0"/>
        <w:jc w:val="both"/>
        <w:rPr>
          <w:b/>
        </w:rPr>
      </w:pPr>
    </w:p>
    <w:p w:rsidR="005E455D" w:rsidRPr="00AD63C5" w:rsidRDefault="005E455D" w:rsidP="005E455D">
      <w:pPr>
        <w:autoSpaceDE w:val="0"/>
        <w:autoSpaceDN w:val="0"/>
        <w:adjustRightInd w:val="0"/>
        <w:jc w:val="both"/>
        <w:rPr>
          <w:b/>
        </w:rPr>
      </w:pPr>
      <w:r w:rsidRPr="00AD63C5">
        <w:rPr>
          <w:b/>
        </w:rPr>
        <w:t>Liquidity Management</w:t>
      </w:r>
    </w:p>
    <w:p w:rsidR="005E455D" w:rsidRPr="00AD63C5" w:rsidRDefault="005E455D" w:rsidP="005E455D">
      <w:pPr>
        <w:keepNext/>
        <w:widowControl w:val="0"/>
        <w:jc w:val="both"/>
        <w:rPr>
          <w:b/>
        </w:rPr>
      </w:pPr>
    </w:p>
    <w:p w:rsidR="005E455D" w:rsidRPr="00AD63C5" w:rsidRDefault="005E455D" w:rsidP="005E455D">
      <w:pPr>
        <w:autoSpaceDE w:val="0"/>
        <w:autoSpaceDN w:val="0"/>
        <w:adjustRightInd w:val="0"/>
        <w:jc w:val="both"/>
        <w:rPr>
          <w:rFonts w:cs="Arial"/>
          <w:szCs w:val="24"/>
        </w:rPr>
      </w:pPr>
      <w:r w:rsidRPr="00AD63C5">
        <w:rPr>
          <w:rFonts w:cs="Arial"/>
        </w:rPr>
        <w:t xml:space="preserve">In keeping with the </w:t>
      </w:r>
      <w:r w:rsidR="001D46DF">
        <w:rPr>
          <w:rFonts w:cs="Arial"/>
        </w:rPr>
        <w:t>D</w:t>
      </w:r>
      <w:r w:rsidRPr="00AD63C5">
        <w:rPr>
          <w:rFonts w:cs="Arial"/>
        </w:rPr>
        <w:t xml:space="preserve">CLG’s Guidance on Investments, the Council maintained a minimum level of primary liquidity through the use of </w:t>
      </w:r>
      <w:r w:rsidR="00481E87">
        <w:rPr>
          <w:rFonts w:cs="Arial"/>
        </w:rPr>
        <w:t>'c</w:t>
      </w:r>
      <w:r w:rsidRPr="00AD63C5">
        <w:rPr>
          <w:rFonts w:cs="Arial"/>
        </w:rPr>
        <w:t xml:space="preserve">all </w:t>
      </w:r>
      <w:r w:rsidR="00481E87">
        <w:rPr>
          <w:rFonts w:cs="Arial"/>
        </w:rPr>
        <w:t>a</w:t>
      </w:r>
      <w:r w:rsidRPr="00AD63C5">
        <w:rPr>
          <w:rFonts w:cs="Arial"/>
        </w:rPr>
        <w:t>ccounts</w:t>
      </w:r>
      <w:r w:rsidR="00481E87">
        <w:rPr>
          <w:rFonts w:cs="Arial"/>
        </w:rPr>
        <w:t>'</w:t>
      </w:r>
      <w:r w:rsidRPr="00AD63C5">
        <w:rPr>
          <w:rFonts w:cs="Arial"/>
        </w:rPr>
        <w:t>. The Council also has</w:t>
      </w:r>
      <w:r w:rsidRPr="00AD63C5">
        <w:rPr>
          <w:rFonts w:cs="Arial"/>
          <w:szCs w:val="24"/>
        </w:rPr>
        <w:t xml:space="preserve"> bond portfolios which are available for sale, at current market prices, if needed as “secondary” liquidity.</w:t>
      </w:r>
    </w:p>
    <w:p w:rsidR="005E455D" w:rsidRPr="00AD63C5" w:rsidRDefault="005E455D" w:rsidP="005E455D">
      <w:pPr>
        <w:autoSpaceDE w:val="0"/>
        <w:autoSpaceDN w:val="0"/>
        <w:adjustRightInd w:val="0"/>
        <w:jc w:val="both"/>
        <w:rPr>
          <w:rFonts w:cs="Arial"/>
          <w:szCs w:val="24"/>
        </w:rPr>
      </w:pPr>
      <w:bookmarkStart w:id="0" w:name="_GoBack"/>
      <w:bookmarkEnd w:id="0"/>
    </w:p>
    <w:p w:rsidR="005E455D" w:rsidRPr="00AD63C5" w:rsidRDefault="005E455D" w:rsidP="005E455D">
      <w:pPr>
        <w:autoSpaceDE w:val="0"/>
        <w:autoSpaceDN w:val="0"/>
        <w:adjustRightInd w:val="0"/>
        <w:jc w:val="both"/>
        <w:rPr>
          <w:rFonts w:cs="Arial"/>
        </w:rPr>
      </w:pPr>
      <w:r w:rsidRPr="00AD63C5">
        <w:rPr>
          <w:rFonts w:cs="Arial"/>
        </w:rPr>
        <w:t xml:space="preserve">The Council uses purpose-built cash flow forecasting spreadsheets to determine the maximum period for which funds may prudently be committed. </w:t>
      </w:r>
    </w:p>
    <w:p w:rsidR="005E455D" w:rsidRPr="00AD63C5" w:rsidRDefault="005E455D" w:rsidP="005E455D">
      <w:pPr>
        <w:jc w:val="both"/>
        <w:rPr>
          <w:rFonts w:ascii="Trebuchet MS" w:hAnsi="Trebuchet MS" w:cs="Trebuchet MS"/>
          <w:sz w:val="20"/>
        </w:rPr>
      </w:pPr>
    </w:p>
    <w:p w:rsidR="005E455D" w:rsidRPr="00AD63C5" w:rsidRDefault="005E455D" w:rsidP="005E455D">
      <w:pPr>
        <w:keepNext/>
        <w:widowControl w:val="0"/>
        <w:spacing w:after="120"/>
        <w:jc w:val="both"/>
        <w:rPr>
          <w:b/>
        </w:rPr>
      </w:pPr>
      <w:r w:rsidRPr="00AD63C5">
        <w:rPr>
          <w:b/>
        </w:rPr>
        <w:t xml:space="preserve">Yield </w:t>
      </w:r>
    </w:p>
    <w:p w:rsidR="005E455D" w:rsidRPr="00AD63C5" w:rsidRDefault="005E455D" w:rsidP="005E455D">
      <w:pPr>
        <w:jc w:val="both"/>
        <w:rPr>
          <w:rFonts w:cs="Arial"/>
        </w:rPr>
      </w:pPr>
      <w:r w:rsidRPr="00AD63C5">
        <w:rPr>
          <w:rFonts w:cs="Arial"/>
        </w:rPr>
        <w:t xml:space="preserve">The rates of return on the Council's short-dated money market investments reflect prevailing market conditions and the Council's objective of optimising returns commensurate with the principles of security and liquidity. </w:t>
      </w:r>
    </w:p>
    <w:p w:rsidR="005E455D" w:rsidRPr="000F6DF0" w:rsidRDefault="005E455D" w:rsidP="005E455D">
      <w:pPr>
        <w:jc w:val="both"/>
        <w:rPr>
          <w:rFonts w:cs="Arial"/>
          <w:sz w:val="20"/>
          <w:highlight w:val="yellow"/>
        </w:rPr>
      </w:pPr>
    </w:p>
    <w:p w:rsidR="005E455D" w:rsidRPr="00DA516D" w:rsidRDefault="005E455D" w:rsidP="005E455D">
      <w:pPr>
        <w:jc w:val="both"/>
        <w:rPr>
          <w:rFonts w:cs="Arial"/>
        </w:rPr>
      </w:pPr>
      <w:r w:rsidRPr="00DA516D">
        <w:rPr>
          <w:rFonts w:cs="Arial"/>
        </w:rPr>
        <w:t xml:space="preserve">Overall the investment portfolios returned an average rate of 4.66% in 2016/17 which can be attributed to the categories as follows: </w:t>
      </w:r>
    </w:p>
    <w:p w:rsidR="005E455D" w:rsidRPr="00DA516D" w:rsidRDefault="005E455D" w:rsidP="005E455D">
      <w:pPr>
        <w:jc w:val="both"/>
      </w:pPr>
      <w:r w:rsidRPr="00DA516D">
        <w:t xml:space="preserve">  </w:t>
      </w:r>
    </w:p>
    <w:tbl>
      <w:tblPr>
        <w:tblW w:w="9416" w:type="dxa"/>
        <w:tblInd w:w="-10" w:type="dxa"/>
        <w:tblLook w:val="04A0" w:firstRow="1" w:lastRow="0" w:firstColumn="1" w:lastColumn="0" w:noHBand="0" w:noVBand="1"/>
      </w:tblPr>
      <w:tblGrid>
        <w:gridCol w:w="4536"/>
        <w:gridCol w:w="2580"/>
        <w:gridCol w:w="2300"/>
      </w:tblGrid>
      <w:tr w:rsidR="00CA6A90" w:rsidTr="005E455D">
        <w:trPr>
          <w:trHeight w:val="315"/>
        </w:trPr>
        <w:tc>
          <w:tcPr>
            <w:tcW w:w="453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E455D" w:rsidRPr="00EA594A" w:rsidRDefault="005E455D" w:rsidP="005E455D">
            <w:pPr>
              <w:rPr>
                <w:rFonts w:cs="Arial"/>
                <w:b/>
                <w:bCs/>
                <w:color w:val="000000"/>
                <w:sz w:val="22"/>
                <w:szCs w:val="22"/>
              </w:rPr>
            </w:pPr>
            <w:r w:rsidRPr="00EA594A">
              <w:rPr>
                <w:rFonts w:cs="Arial"/>
                <w:b/>
                <w:bCs/>
                <w:color w:val="000000"/>
                <w:sz w:val="22"/>
                <w:szCs w:val="22"/>
              </w:rPr>
              <w:t>Maturity Range</w:t>
            </w:r>
          </w:p>
        </w:tc>
        <w:tc>
          <w:tcPr>
            <w:tcW w:w="2580" w:type="dxa"/>
            <w:tcBorders>
              <w:top w:val="single" w:sz="8" w:space="0" w:color="000000"/>
              <w:left w:val="nil"/>
              <w:bottom w:val="single" w:sz="8" w:space="0" w:color="000000"/>
              <w:right w:val="nil"/>
            </w:tcBorders>
            <w:shd w:val="clear" w:color="auto" w:fill="auto"/>
            <w:noWrap/>
            <w:vAlign w:val="center"/>
            <w:hideMark/>
          </w:tcPr>
          <w:p w:rsidR="00481E87" w:rsidRDefault="00481E87" w:rsidP="005E455D">
            <w:pPr>
              <w:jc w:val="center"/>
              <w:rPr>
                <w:rFonts w:cs="Arial"/>
                <w:b/>
                <w:bCs/>
                <w:color w:val="000000"/>
                <w:sz w:val="22"/>
                <w:szCs w:val="22"/>
              </w:rPr>
            </w:pPr>
            <w:r>
              <w:rPr>
                <w:rFonts w:cs="Arial"/>
                <w:b/>
                <w:bCs/>
                <w:color w:val="000000"/>
                <w:sz w:val="22"/>
                <w:szCs w:val="22"/>
              </w:rPr>
              <w:t>Investment</w:t>
            </w:r>
          </w:p>
          <w:p w:rsidR="005E455D" w:rsidRPr="00EA594A" w:rsidRDefault="005E455D" w:rsidP="005E455D">
            <w:pPr>
              <w:jc w:val="center"/>
              <w:rPr>
                <w:rFonts w:cs="Arial"/>
                <w:b/>
                <w:bCs/>
                <w:color w:val="000000"/>
                <w:sz w:val="22"/>
                <w:szCs w:val="22"/>
              </w:rPr>
            </w:pPr>
            <w:r w:rsidRPr="00EA594A">
              <w:rPr>
                <w:rFonts w:cs="Arial"/>
                <w:b/>
                <w:bCs/>
                <w:color w:val="000000"/>
                <w:sz w:val="22"/>
                <w:szCs w:val="22"/>
              </w:rPr>
              <w:t>£m</w:t>
            </w:r>
          </w:p>
        </w:tc>
        <w:tc>
          <w:tcPr>
            <w:tcW w:w="230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E455D" w:rsidRPr="00EA594A" w:rsidRDefault="005E455D" w:rsidP="005E455D">
            <w:pPr>
              <w:jc w:val="center"/>
              <w:rPr>
                <w:rFonts w:cs="Arial"/>
                <w:b/>
                <w:bCs/>
                <w:color w:val="000000"/>
                <w:sz w:val="22"/>
                <w:szCs w:val="22"/>
              </w:rPr>
            </w:pPr>
            <w:r w:rsidRPr="00EA594A">
              <w:rPr>
                <w:rFonts w:cs="Arial"/>
                <w:b/>
                <w:bCs/>
                <w:color w:val="000000"/>
                <w:sz w:val="22"/>
                <w:szCs w:val="22"/>
              </w:rPr>
              <w:t>Average Rate</w:t>
            </w:r>
          </w:p>
        </w:tc>
      </w:tr>
      <w:tr w:rsidR="00CA6A90" w:rsidTr="005E455D">
        <w:trPr>
          <w:trHeight w:val="315"/>
        </w:trPr>
        <w:tc>
          <w:tcPr>
            <w:tcW w:w="4536"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EA594A" w:rsidRDefault="005E455D" w:rsidP="005E455D">
            <w:pPr>
              <w:rPr>
                <w:rFonts w:cs="Arial"/>
                <w:color w:val="000000"/>
                <w:sz w:val="22"/>
                <w:szCs w:val="22"/>
              </w:rPr>
            </w:pPr>
            <w:r w:rsidRPr="00EA594A">
              <w:rPr>
                <w:rFonts w:cs="Arial"/>
                <w:color w:val="000000"/>
                <w:sz w:val="22"/>
                <w:szCs w:val="22"/>
              </w:rPr>
              <w:t>Call, MMF &amp; Under 1 year</w:t>
            </w:r>
          </w:p>
        </w:tc>
        <w:tc>
          <w:tcPr>
            <w:tcW w:w="2580" w:type="dxa"/>
            <w:tcBorders>
              <w:top w:val="nil"/>
              <w:left w:val="nil"/>
              <w:bottom w:val="single" w:sz="8" w:space="0" w:color="000000"/>
              <w:right w:val="single" w:sz="8" w:space="0" w:color="auto"/>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147.70</w:t>
            </w:r>
          </w:p>
        </w:tc>
        <w:tc>
          <w:tcPr>
            <w:tcW w:w="2300" w:type="dxa"/>
            <w:tcBorders>
              <w:top w:val="nil"/>
              <w:left w:val="nil"/>
              <w:bottom w:val="single" w:sz="8" w:space="0" w:color="000000"/>
              <w:right w:val="single" w:sz="8" w:space="0" w:color="auto"/>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0.54%</w:t>
            </w:r>
          </w:p>
        </w:tc>
      </w:tr>
      <w:tr w:rsidR="00CA6A90" w:rsidTr="005E455D">
        <w:trPr>
          <w:trHeight w:val="315"/>
        </w:trPr>
        <w:tc>
          <w:tcPr>
            <w:tcW w:w="4536"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EA594A" w:rsidRDefault="005E455D" w:rsidP="005E455D">
            <w:pPr>
              <w:rPr>
                <w:rFonts w:cs="Arial"/>
                <w:color w:val="000000"/>
                <w:sz w:val="22"/>
                <w:szCs w:val="22"/>
              </w:rPr>
            </w:pPr>
            <w:r w:rsidRPr="00EA594A">
              <w:rPr>
                <w:rFonts w:cs="Arial"/>
                <w:color w:val="000000"/>
                <w:sz w:val="22"/>
                <w:szCs w:val="22"/>
              </w:rPr>
              <w:t>Bank &amp; Local Authority Deposits 1-2 years</w:t>
            </w:r>
          </w:p>
        </w:tc>
        <w:tc>
          <w:tcPr>
            <w:tcW w:w="2580" w:type="dxa"/>
            <w:tcBorders>
              <w:top w:val="nil"/>
              <w:left w:val="nil"/>
              <w:bottom w:val="single" w:sz="8" w:space="0" w:color="000000"/>
              <w:right w:val="nil"/>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36.50</w:t>
            </w:r>
          </w:p>
        </w:tc>
        <w:tc>
          <w:tcPr>
            <w:tcW w:w="2300" w:type="dxa"/>
            <w:tcBorders>
              <w:top w:val="nil"/>
              <w:left w:val="single" w:sz="8" w:space="0" w:color="auto"/>
              <w:bottom w:val="single" w:sz="8" w:space="0" w:color="000000"/>
              <w:right w:val="single" w:sz="8" w:space="0" w:color="auto"/>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1.44%</w:t>
            </w:r>
          </w:p>
        </w:tc>
      </w:tr>
      <w:tr w:rsidR="00CA6A90" w:rsidTr="005E455D">
        <w:trPr>
          <w:trHeight w:val="315"/>
        </w:trPr>
        <w:tc>
          <w:tcPr>
            <w:tcW w:w="4536"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EA594A" w:rsidRDefault="005E455D" w:rsidP="005E455D">
            <w:pPr>
              <w:rPr>
                <w:rFonts w:cs="Arial"/>
                <w:color w:val="000000"/>
                <w:sz w:val="22"/>
                <w:szCs w:val="22"/>
              </w:rPr>
            </w:pPr>
            <w:r w:rsidRPr="00EA594A">
              <w:rPr>
                <w:rFonts w:cs="Arial"/>
                <w:color w:val="000000"/>
                <w:sz w:val="22"/>
                <w:szCs w:val="22"/>
              </w:rPr>
              <w:t>Bank &amp; Local Authority Deposits 2-3 years</w:t>
            </w:r>
          </w:p>
        </w:tc>
        <w:tc>
          <w:tcPr>
            <w:tcW w:w="2580" w:type="dxa"/>
            <w:tcBorders>
              <w:top w:val="nil"/>
              <w:left w:val="nil"/>
              <w:bottom w:val="single" w:sz="8" w:space="0" w:color="000000"/>
              <w:right w:val="nil"/>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0.00</w:t>
            </w:r>
          </w:p>
        </w:tc>
        <w:tc>
          <w:tcPr>
            <w:tcW w:w="2300" w:type="dxa"/>
            <w:tcBorders>
              <w:top w:val="nil"/>
              <w:left w:val="single" w:sz="8" w:space="0" w:color="auto"/>
              <w:bottom w:val="single" w:sz="8" w:space="0" w:color="000000"/>
              <w:right w:val="single" w:sz="8" w:space="0" w:color="auto"/>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0.00%</w:t>
            </w:r>
          </w:p>
        </w:tc>
      </w:tr>
      <w:tr w:rsidR="00CA6A90" w:rsidTr="005E455D">
        <w:trPr>
          <w:trHeight w:val="315"/>
        </w:trPr>
        <w:tc>
          <w:tcPr>
            <w:tcW w:w="4536"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EA594A" w:rsidRDefault="005E455D" w:rsidP="005E455D">
            <w:pPr>
              <w:rPr>
                <w:rFonts w:cs="Arial"/>
                <w:color w:val="000000"/>
                <w:sz w:val="22"/>
                <w:szCs w:val="22"/>
              </w:rPr>
            </w:pPr>
            <w:r w:rsidRPr="00EA594A">
              <w:rPr>
                <w:rFonts w:cs="Arial"/>
                <w:color w:val="000000"/>
                <w:sz w:val="22"/>
                <w:szCs w:val="22"/>
              </w:rPr>
              <w:t>Bank &amp; Local Authority Deposits 3-5 years</w:t>
            </w:r>
          </w:p>
        </w:tc>
        <w:tc>
          <w:tcPr>
            <w:tcW w:w="2580" w:type="dxa"/>
            <w:tcBorders>
              <w:top w:val="nil"/>
              <w:left w:val="nil"/>
              <w:bottom w:val="single" w:sz="8" w:space="0" w:color="000000"/>
              <w:right w:val="nil"/>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0.00</w:t>
            </w:r>
          </w:p>
        </w:tc>
        <w:tc>
          <w:tcPr>
            <w:tcW w:w="2300" w:type="dxa"/>
            <w:tcBorders>
              <w:top w:val="nil"/>
              <w:left w:val="single" w:sz="8" w:space="0" w:color="auto"/>
              <w:bottom w:val="single" w:sz="8" w:space="0" w:color="000000"/>
              <w:right w:val="single" w:sz="8" w:space="0" w:color="auto"/>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0.00%</w:t>
            </w:r>
          </w:p>
        </w:tc>
      </w:tr>
      <w:tr w:rsidR="00CA6A90" w:rsidTr="005E455D">
        <w:trPr>
          <w:trHeight w:val="315"/>
        </w:trPr>
        <w:tc>
          <w:tcPr>
            <w:tcW w:w="4536"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EA594A" w:rsidRDefault="005E455D" w:rsidP="005E455D">
            <w:pPr>
              <w:rPr>
                <w:rFonts w:cs="Arial"/>
                <w:color w:val="000000"/>
                <w:sz w:val="22"/>
                <w:szCs w:val="22"/>
              </w:rPr>
            </w:pPr>
            <w:r w:rsidRPr="00EA594A">
              <w:rPr>
                <w:rFonts w:cs="Arial"/>
                <w:color w:val="000000"/>
                <w:sz w:val="22"/>
                <w:szCs w:val="22"/>
              </w:rPr>
              <w:t>Bank &amp; Local Authority Deposits 5 Years +</w:t>
            </w:r>
          </w:p>
        </w:tc>
        <w:tc>
          <w:tcPr>
            <w:tcW w:w="2580" w:type="dxa"/>
            <w:tcBorders>
              <w:top w:val="nil"/>
              <w:left w:val="nil"/>
              <w:bottom w:val="single" w:sz="8" w:space="0" w:color="000000"/>
              <w:right w:val="nil"/>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10.00</w:t>
            </w:r>
          </w:p>
        </w:tc>
        <w:tc>
          <w:tcPr>
            <w:tcW w:w="2300" w:type="dxa"/>
            <w:tcBorders>
              <w:top w:val="nil"/>
              <w:left w:val="single" w:sz="8" w:space="0" w:color="auto"/>
              <w:bottom w:val="single" w:sz="8" w:space="0" w:color="000000"/>
              <w:right w:val="single" w:sz="8" w:space="0" w:color="auto"/>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2.95%</w:t>
            </w:r>
          </w:p>
        </w:tc>
      </w:tr>
      <w:tr w:rsidR="00CA6A90" w:rsidTr="005E455D">
        <w:trPr>
          <w:trHeight w:val="315"/>
        </w:trPr>
        <w:tc>
          <w:tcPr>
            <w:tcW w:w="4536"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EA594A" w:rsidRDefault="005E455D" w:rsidP="005E455D">
            <w:pPr>
              <w:rPr>
                <w:rFonts w:cs="Arial"/>
                <w:color w:val="000000"/>
                <w:sz w:val="22"/>
                <w:szCs w:val="22"/>
              </w:rPr>
            </w:pPr>
            <w:r w:rsidRPr="00EA594A">
              <w:rPr>
                <w:rFonts w:cs="Arial"/>
                <w:color w:val="000000"/>
                <w:sz w:val="22"/>
                <w:szCs w:val="22"/>
              </w:rPr>
              <w:t>Local Authority Bonds</w:t>
            </w:r>
          </w:p>
        </w:tc>
        <w:tc>
          <w:tcPr>
            <w:tcW w:w="2580" w:type="dxa"/>
            <w:tcBorders>
              <w:top w:val="nil"/>
              <w:left w:val="nil"/>
              <w:bottom w:val="single" w:sz="8" w:space="0" w:color="000000"/>
              <w:right w:val="nil"/>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35.85</w:t>
            </w:r>
          </w:p>
        </w:tc>
        <w:tc>
          <w:tcPr>
            <w:tcW w:w="2300" w:type="dxa"/>
            <w:tcBorders>
              <w:top w:val="nil"/>
              <w:left w:val="single" w:sz="8" w:space="0" w:color="auto"/>
              <w:bottom w:val="single" w:sz="8" w:space="0" w:color="000000"/>
              <w:right w:val="single" w:sz="8" w:space="0" w:color="auto"/>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3.67%</w:t>
            </w:r>
          </w:p>
        </w:tc>
      </w:tr>
      <w:tr w:rsidR="00CA6A90" w:rsidTr="005E455D">
        <w:trPr>
          <w:trHeight w:val="315"/>
        </w:trPr>
        <w:tc>
          <w:tcPr>
            <w:tcW w:w="4536"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EA594A" w:rsidRDefault="005E455D" w:rsidP="005E455D">
            <w:pPr>
              <w:rPr>
                <w:rFonts w:cs="Arial"/>
                <w:color w:val="000000"/>
                <w:sz w:val="22"/>
                <w:szCs w:val="22"/>
              </w:rPr>
            </w:pPr>
            <w:r w:rsidRPr="00EA594A">
              <w:rPr>
                <w:rFonts w:cs="Arial"/>
                <w:color w:val="000000"/>
                <w:sz w:val="22"/>
                <w:szCs w:val="22"/>
              </w:rPr>
              <w:t>UK Government &amp; Other Bonds</w:t>
            </w:r>
          </w:p>
        </w:tc>
        <w:tc>
          <w:tcPr>
            <w:tcW w:w="2580" w:type="dxa"/>
            <w:tcBorders>
              <w:top w:val="nil"/>
              <w:left w:val="nil"/>
              <w:bottom w:val="single" w:sz="8" w:space="0" w:color="000000"/>
              <w:right w:val="nil"/>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344.48</w:t>
            </w:r>
          </w:p>
        </w:tc>
        <w:tc>
          <w:tcPr>
            <w:tcW w:w="2300" w:type="dxa"/>
            <w:tcBorders>
              <w:top w:val="nil"/>
              <w:left w:val="single" w:sz="8" w:space="0" w:color="auto"/>
              <w:bottom w:val="single" w:sz="8" w:space="0" w:color="000000"/>
              <w:right w:val="single" w:sz="8" w:space="0" w:color="auto"/>
            </w:tcBorders>
            <w:shd w:val="clear" w:color="auto" w:fill="auto"/>
            <w:noWrap/>
            <w:vAlign w:val="center"/>
            <w:hideMark/>
          </w:tcPr>
          <w:p w:rsidR="005E455D" w:rsidRPr="00EA594A" w:rsidRDefault="005E455D" w:rsidP="005E455D">
            <w:pPr>
              <w:jc w:val="center"/>
              <w:rPr>
                <w:rFonts w:cs="Arial"/>
                <w:color w:val="000000"/>
                <w:sz w:val="22"/>
                <w:szCs w:val="22"/>
              </w:rPr>
            </w:pPr>
            <w:r w:rsidRPr="00EA594A">
              <w:rPr>
                <w:rFonts w:cs="Arial"/>
                <w:color w:val="000000"/>
                <w:sz w:val="22"/>
                <w:szCs w:val="22"/>
              </w:rPr>
              <w:t>5.71%</w:t>
            </w:r>
          </w:p>
        </w:tc>
      </w:tr>
      <w:tr w:rsidR="00CA6A90" w:rsidTr="005E455D">
        <w:trPr>
          <w:trHeight w:val="315"/>
        </w:trPr>
        <w:tc>
          <w:tcPr>
            <w:tcW w:w="4536" w:type="dxa"/>
            <w:tcBorders>
              <w:top w:val="nil"/>
              <w:left w:val="single" w:sz="8" w:space="0" w:color="000000"/>
              <w:bottom w:val="single" w:sz="8" w:space="0" w:color="000000"/>
              <w:right w:val="single" w:sz="8" w:space="0" w:color="000000"/>
            </w:tcBorders>
            <w:shd w:val="clear" w:color="auto" w:fill="auto"/>
            <w:noWrap/>
            <w:vAlign w:val="center"/>
            <w:hideMark/>
          </w:tcPr>
          <w:p w:rsidR="005E455D" w:rsidRPr="00EA594A" w:rsidRDefault="005E455D" w:rsidP="005E455D">
            <w:pPr>
              <w:rPr>
                <w:rFonts w:cs="Arial"/>
                <w:b/>
                <w:bCs/>
                <w:color w:val="000000"/>
                <w:sz w:val="22"/>
                <w:szCs w:val="22"/>
              </w:rPr>
            </w:pPr>
            <w:r w:rsidRPr="00EA594A">
              <w:rPr>
                <w:rFonts w:cs="Arial"/>
                <w:b/>
                <w:bCs/>
                <w:color w:val="000000"/>
                <w:sz w:val="22"/>
                <w:szCs w:val="22"/>
              </w:rPr>
              <w:t> </w:t>
            </w:r>
          </w:p>
        </w:tc>
        <w:tc>
          <w:tcPr>
            <w:tcW w:w="2580" w:type="dxa"/>
            <w:tcBorders>
              <w:top w:val="nil"/>
              <w:left w:val="nil"/>
              <w:bottom w:val="single" w:sz="8" w:space="0" w:color="000000"/>
              <w:right w:val="nil"/>
            </w:tcBorders>
            <w:shd w:val="clear" w:color="auto" w:fill="auto"/>
            <w:noWrap/>
            <w:vAlign w:val="center"/>
            <w:hideMark/>
          </w:tcPr>
          <w:p w:rsidR="005E455D" w:rsidRPr="00EA594A" w:rsidRDefault="005E455D" w:rsidP="005E455D">
            <w:pPr>
              <w:jc w:val="center"/>
              <w:rPr>
                <w:rFonts w:cs="Arial"/>
                <w:b/>
                <w:bCs/>
                <w:color w:val="000000"/>
                <w:sz w:val="22"/>
                <w:szCs w:val="22"/>
              </w:rPr>
            </w:pPr>
            <w:r w:rsidRPr="00EA594A">
              <w:rPr>
                <w:rFonts w:cs="Arial"/>
                <w:b/>
                <w:bCs/>
                <w:color w:val="000000"/>
                <w:sz w:val="22"/>
                <w:szCs w:val="22"/>
              </w:rPr>
              <w:t>574.53</w:t>
            </w:r>
          </w:p>
        </w:tc>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5E455D" w:rsidRPr="00EA594A" w:rsidRDefault="005E455D" w:rsidP="005E455D">
            <w:pPr>
              <w:jc w:val="center"/>
              <w:rPr>
                <w:rFonts w:cs="Arial"/>
                <w:b/>
                <w:bCs/>
                <w:color w:val="000000"/>
                <w:sz w:val="22"/>
                <w:szCs w:val="22"/>
              </w:rPr>
            </w:pPr>
            <w:r w:rsidRPr="00EA594A">
              <w:rPr>
                <w:rFonts w:cs="Arial"/>
                <w:b/>
                <w:bCs/>
                <w:color w:val="000000"/>
                <w:sz w:val="22"/>
                <w:szCs w:val="22"/>
              </w:rPr>
              <w:t>4.66%</w:t>
            </w:r>
          </w:p>
        </w:tc>
      </w:tr>
    </w:tbl>
    <w:p w:rsidR="00F63EFC" w:rsidRDefault="00F63EFC" w:rsidP="005E455D">
      <w:pPr>
        <w:jc w:val="both"/>
        <w:rPr>
          <w:b/>
          <w:szCs w:val="24"/>
        </w:rPr>
      </w:pPr>
    </w:p>
    <w:p w:rsidR="005E455D" w:rsidRPr="000A5E3E" w:rsidRDefault="005E455D" w:rsidP="005E455D">
      <w:pPr>
        <w:jc w:val="both"/>
        <w:rPr>
          <w:b/>
          <w:szCs w:val="24"/>
        </w:rPr>
      </w:pPr>
      <w:r w:rsidRPr="000A5E3E">
        <w:rPr>
          <w:b/>
          <w:szCs w:val="24"/>
        </w:rPr>
        <w:t xml:space="preserve">Impact of </w:t>
      </w:r>
      <w:r>
        <w:rPr>
          <w:b/>
          <w:szCs w:val="24"/>
        </w:rPr>
        <w:t xml:space="preserve">the </w:t>
      </w:r>
      <w:r w:rsidRPr="000A5E3E">
        <w:rPr>
          <w:b/>
          <w:szCs w:val="24"/>
        </w:rPr>
        <w:t>Treasury Management Strategy on the Council's revenue budget</w:t>
      </w:r>
    </w:p>
    <w:p w:rsidR="005E455D" w:rsidRPr="000F6DF0" w:rsidRDefault="005E455D" w:rsidP="005E455D">
      <w:pPr>
        <w:jc w:val="both"/>
        <w:rPr>
          <w:b/>
          <w:szCs w:val="24"/>
          <w:highlight w:val="yellow"/>
        </w:rPr>
      </w:pPr>
    </w:p>
    <w:p w:rsidR="005E455D" w:rsidRPr="00831231" w:rsidRDefault="005E455D" w:rsidP="005E455D">
      <w:pPr>
        <w:jc w:val="both"/>
        <w:rPr>
          <w:rFonts w:cs="Arial"/>
        </w:rPr>
      </w:pPr>
      <w:r w:rsidRPr="00831231">
        <w:rPr>
          <w:szCs w:val="24"/>
        </w:rPr>
        <w:t xml:space="preserve">The table below shows a net underspend of £23.425m </w:t>
      </w:r>
      <w:r>
        <w:rPr>
          <w:szCs w:val="24"/>
        </w:rPr>
        <w:t xml:space="preserve">against the budget for </w:t>
      </w:r>
      <w:r w:rsidRPr="00831231">
        <w:rPr>
          <w:szCs w:val="24"/>
        </w:rPr>
        <w:t xml:space="preserve">financing charges.  </w:t>
      </w:r>
      <w:r>
        <w:rPr>
          <w:szCs w:val="24"/>
        </w:rPr>
        <w:t>As outlined, the markets saw some volatility in the year principally as a result of the referendum to leave the EU.</w:t>
      </w:r>
      <w:r w:rsidRPr="00831231">
        <w:rPr>
          <w:rFonts w:cs="Arial"/>
        </w:rPr>
        <w:t xml:space="preserve"> </w:t>
      </w:r>
      <w:r>
        <w:rPr>
          <w:rFonts w:cs="Arial"/>
        </w:rPr>
        <w:t>The increase in the price of G</w:t>
      </w:r>
      <w:r w:rsidR="00BB6442">
        <w:rPr>
          <w:rFonts w:cs="Arial"/>
        </w:rPr>
        <w:t>ilts</w:t>
      </w:r>
      <w:r>
        <w:rPr>
          <w:rFonts w:cs="Arial"/>
        </w:rPr>
        <w:t xml:space="preserve"> </w:t>
      </w:r>
      <w:r w:rsidRPr="00831231">
        <w:rPr>
          <w:rFonts w:cs="Arial"/>
        </w:rPr>
        <w:t xml:space="preserve">enabled some core </w:t>
      </w:r>
      <w:r w:rsidR="00BB6442" w:rsidRPr="00831231">
        <w:rPr>
          <w:rFonts w:cs="Arial"/>
        </w:rPr>
        <w:t>G</w:t>
      </w:r>
      <w:r w:rsidR="00BB6442">
        <w:rPr>
          <w:rFonts w:cs="Arial"/>
        </w:rPr>
        <w:t>ilt</w:t>
      </w:r>
      <w:r w:rsidR="00BB6442" w:rsidRPr="00831231">
        <w:rPr>
          <w:rFonts w:cs="Arial"/>
        </w:rPr>
        <w:t xml:space="preserve"> </w:t>
      </w:r>
      <w:r w:rsidR="00BB6442">
        <w:rPr>
          <w:rFonts w:cs="Arial"/>
        </w:rPr>
        <w:t>holdings</w:t>
      </w:r>
      <w:r w:rsidRPr="00831231">
        <w:rPr>
          <w:rFonts w:cs="Arial"/>
        </w:rPr>
        <w:t xml:space="preserve"> to be sold resulting in </w:t>
      </w:r>
      <w:r>
        <w:rPr>
          <w:rFonts w:cs="Arial"/>
        </w:rPr>
        <w:t>the</w:t>
      </w:r>
      <w:r w:rsidRPr="00831231">
        <w:rPr>
          <w:rFonts w:cs="Arial"/>
        </w:rPr>
        <w:t xml:space="preserve"> </w:t>
      </w:r>
      <w:r>
        <w:rPr>
          <w:rFonts w:cs="Arial"/>
        </w:rPr>
        <w:t xml:space="preserve">overall </w:t>
      </w:r>
      <w:r w:rsidRPr="00831231">
        <w:rPr>
          <w:rFonts w:cs="Arial"/>
        </w:rPr>
        <w:t xml:space="preserve">net gain. </w:t>
      </w:r>
      <w:r>
        <w:rPr>
          <w:rFonts w:cs="Arial"/>
        </w:rPr>
        <w:t>This level of volatility was unexpected and therefore no provision for surplus on sale of assets was included in the budget.</w:t>
      </w:r>
    </w:p>
    <w:p w:rsidR="005E455D" w:rsidRDefault="005E455D">
      <w:pPr>
        <w:rPr>
          <w:rFonts w:cs="Arial"/>
          <w:b/>
          <w:bCs/>
          <w:szCs w:val="24"/>
          <w:highlight w:val="yellow"/>
        </w:rPr>
      </w:pPr>
    </w:p>
    <w:p w:rsidR="005E455D" w:rsidRPr="00831231" w:rsidRDefault="005E455D" w:rsidP="005E455D">
      <w:pPr>
        <w:jc w:val="both"/>
        <w:rPr>
          <w:rFonts w:cs="Arial"/>
          <w:b/>
          <w:bCs/>
          <w:szCs w:val="24"/>
        </w:rPr>
      </w:pPr>
      <w:r w:rsidRPr="00831231">
        <w:rPr>
          <w:rFonts w:cs="Arial"/>
          <w:b/>
          <w:bCs/>
          <w:szCs w:val="24"/>
        </w:rPr>
        <w:t>Financing Charges 2016/17 – End of Year Position</w:t>
      </w:r>
    </w:p>
    <w:p w:rsidR="005E455D" w:rsidRDefault="005E455D" w:rsidP="005E455D">
      <w:pPr>
        <w:jc w:val="both"/>
        <w:rPr>
          <w:rFonts w:cs="Arial"/>
          <w:b/>
          <w:bCs/>
          <w:szCs w:val="24"/>
          <w:highlight w:val="yellow"/>
        </w:rPr>
      </w:pPr>
    </w:p>
    <w:tbl>
      <w:tblPr>
        <w:tblW w:w="7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18"/>
        <w:gridCol w:w="1276"/>
        <w:gridCol w:w="1217"/>
      </w:tblGrid>
      <w:tr w:rsidR="00CA6A90" w:rsidTr="005E455D">
        <w:trPr>
          <w:trHeight w:val="315"/>
        </w:trPr>
        <w:tc>
          <w:tcPr>
            <w:tcW w:w="3969" w:type="dxa"/>
            <w:shd w:val="clear" w:color="auto" w:fill="DBE5F1" w:themeFill="accent1" w:themeFillTint="33"/>
            <w:noWrap/>
            <w:vAlign w:val="bottom"/>
            <w:hideMark/>
          </w:tcPr>
          <w:p w:rsidR="005E455D" w:rsidRPr="00EA594A" w:rsidRDefault="005E455D" w:rsidP="005E455D">
            <w:pPr>
              <w:rPr>
                <w:rFonts w:cs="Arial"/>
                <w:b/>
                <w:color w:val="000000"/>
                <w:sz w:val="22"/>
                <w:szCs w:val="22"/>
              </w:rPr>
            </w:pPr>
            <w:r w:rsidRPr="00EA594A">
              <w:rPr>
                <w:rFonts w:cs="Arial"/>
                <w:b/>
                <w:color w:val="000000"/>
                <w:sz w:val="22"/>
                <w:szCs w:val="22"/>
              </w:rPr>
              <w:t> </w:t>
            </w:r>
          </w:p>
        </w:tc>
        <w:tc>
          <w:tcPr>
            <w:tcW w:w="1418" w:type="dxa"/>
            <w:shd w:val="clear" w:color="auto" w:fill="DBE5F1" w:themeFill="accent1" w:themeFillTint="33"/>
            <w:noWrap/>
            <w:vAlign w:val="bottom"/>
            <w:hideMark/>
          </w:tcPr>
          <w:p w:rsidR="005E455D" w:rsidRPr="00EA594A" w:rsidRDefault="005E455D" w:rsidP="005E455D">
            <w:pPr>
              <w:jc w:val="center"/>
              <w:rPr>
                <w:rFonts w:cs="Arial"/>
                <w:b/>
                <w:bCs/>
                <w:color w:val="000000"/>
                <w:sz w:val="22"/>
                <w:szCs w:val="22"/>
              </w:rPr>
            </w:pPr>
            <w:r w:rsidRPr="00EA594A">
              <w:rPr>
                <w:rFonts w:cs="Arial"/>
                <w:b/>
                <w:bCs/>
                <w:color w:val="000000"/>
                <w:sz w:val="22"/>
                <w:szCs w:val="22"/>
              </w:rPr>
              <w:t>Budget</w:t>
            </w:r>
          </w:p>
          <w:p w:rsidR="005E455D" w:rsidRPr="00EA594A" w:rsidRDefault="005E455D" w:rsidP="005E455D">
            <w:pPr>
              <w:jc w:val="center"/>
              <w:rPr>
                <w:rFonts w:cs="Arial"/>
                <w:b/>
                <w:bCs/>
                <w:color w:val="000000"/>
                <w:sz w:val="22"/>
                <w:szCs w:val="22"/>
              </w:rPr>
            </w:pPr>
            <w:r w:rsidRPr="00EA594A">
              <w:rPr>
                <w:rFonts w:cs="Arial"/>
                <w:b/>
                <w:bCs/>
                <w:color w:val="000000"/>
                <w:sz w:val="22"/>
                <w:szCs w:val="22"/>
              </w:rPr>
              <w:t>16/17</w:t>
            </w:r>
          </w:p>
        </w:tc>
        <w:tc>
          <w:tcPr>
            <w:tcW w:w="1276" w:type="dxa"/>
            <w:shd w:val="clear" w:color="auto" w:fill="DBE5F1" w:themeFill="accent1" w:themeFillTint="33"/>
            <w:noWrap/>
            <w:vAlign w:val="bottom"/>
            <w:hideMark/>
          </w:tcPr>
          <w:p w:rsidR="005E455D" w:rsidRPr="00EA594A" w:rsidRDefault="005E455D" w:rsidP="005E455D">
            <w:pPr>
              <w:jc w:val="center"/>
              <w:rPr>
                <w:rFonts w:cs="Arial"/>
                <w:b/>
                <w:bCs/>
                <w:color w:val="000000"/>
                <w:sz w:val="22"/>
                <w:szCs w:val="22"/>
              </w:rPr>
            </w:pPr>
            <w:r w:rsidRPr="00EA594A">
              <w:rPr>
                <w:rFonts w:cs="Arial"/>
                <w:b/>
                <w:bCs/>
                <w:color w:val="000000"/>
                <w:sz w:val="22"/>
                <w:szCs w:val="22"/>
              </w:rPr>
              <w:t>Year End</w:t>
            </w:r>
          </w:p>
          <w:p w:rsidR="005E455D" w:rsidRPr="00EA594A" w:rsidRDefault="005E455D" w:rsidP="005E455D">
            <w:pPr>
              <w:jc w:val="center"/>
              <w:rPr>
                <w:rFonts w:cs="Arial"/>
                <w:b/>
                <w:bCs/>
                <w:color w:val="000000"/>
                <w:sz w:val="22"/>
                <w:szCs w:val="22"/>
              </w:rPr>
            </w:pPr>
            <w:r w:rsidRPr="00EA594A">
              <w:rPr>
                <w:rFonts w:cs="Arial"/>
                <w:b/>
                <w:bCs/>
                <w:color w:val="000000"/>
                <w:sz w:val="22"/>
                <w:szCs w:val="22"/>
              </w:rPr>
              <w:t>Position</w:t>
            </w:r>
          </w:p>
        </w:tc>
        <w:tc>
          <w:tcPr>
            <w:tcW w:w="1217" w:type="dxa"/>
            <w:shd w:val="clear" w:color="auto" w:fill="DBE5F1" w:themeFill="accent1" w:themeFillTint="33"/>
            <w:noWrap/>
            <w:vAlign w:val="bottom"/>
            <w:hideMark/>
          </w:tcPr>
          <w:p w:rsidR="005E455D" w:rsidRPr="00EA594A" w:rsidRDefault="005E455D" w:rsidP="005E455D">
            <w:pPr>
              <w:jc w:val="center"/>
              <w:rPr>
                <w:rFonts w:cs="Arial"/>
                <w:b/>
                <w:bCs/>
                <w:color w:val="000000"/>
                <w:sz w:val="22"/>
                <w:szCs w:val="22"/>
              </w:rPr>
            </w:pPr>
            <w:r w:rsidRPr="00EA594A">
              <w:rPr>
                <w:rFonts w:cs="Arial"/>
                <w:b/>
                <w:bCs/>
                <w:color w:val="000000"/>
                <w:sz w:val="22"/>
                <w:szCs w:val="22"/>
              </w:rPr>
              <w:t>Variance </w:t>
            </w:r>
          </w:p>
        </w:tc>
      </w:tr>
      <w:tr w:rsidR="00CA6A90" w:rsidTr="005E455D">
        <w:trPr>
          <w:trHeight w:val="315"/>
        </w:trPr>
        <w:tc>
          <w:tcPr>
            <w:tcW w:w="3969" w:type="dxa"/>
            <w:shd w:val="clear" w:color="auto" w:fill="auto"/>
            <w:noWrap/>
            <w:vAlign w:val="bottom"/>
            <w:hideMark/>
          </w:tcPr>
          <w:p w:rsidR="005E455D" w:rsidRPr="00EA594A" w:rsidRDefault="005E455D" w:rsidP="005E455D">
            <w:pPr>
              <w:rPr>
                <w:rFonts w:cs="Arial"/>
                <w:color w:val="000000"/>
                <w:sz w:val="22"/>
                <w:szCs w:val="22"/>
              </w:rPr>
            </w:pPr>
            <w:r w:rsidRPr="00EA594A">
              <w:rPr>
                <w:rFonts w:cs="Arial"/>
                <w:color w:val="000000"/>
                <w:sz w:val="22"/>
                <w:szCs w:val="22"/>
              </w:rPr>
              <w:t> </w:t>
            </w:r>
          </w:p>
        </w:tc>
        <w:tc>
          <w:tcPr>
            <w:tcW w:w="1418" w:type="dxa"/>
            <w:shd w:val="clear" w:color="auto" w:fill="auto"/>
            <w:noWrap/>
            <w:vAlign w:val="bottom"/>
            <w:hideMark/>
          </w:tcPr>
          <w:p w:rsidR="005E455D" w:rsidRPr="00EA594A" w:rsidRDefault="005E455D" w:rsidP="005E455D">
            <w:pPr>
              <w:jc w:val="center"/>
              <w:rPr>
                <w:rFonts w:cs="Arial"/>
                <w:bCs/>
                <w:color w:val="000000"/>
                <w:sz w:val="22"/>
                <w:szCs w:val="22"/>
              </w:rPr>
            </w:pPr>
            <w:r w:rsidRPr="00EA594A">
              <w:rPr>
                <w:rFonts w:cs="Arial"/>
                <w:bCs/>
                <w:color w:val="000000"/>
                <w:sz w:val="22"/>
                <w:szCs w:val="22"/>
              </w:rPr>
              <w:t>£m</w:t>
            </w:r>
          </w:p>
        </w:tc>
        <w:tc>
          <w:tcPr>
            <w:tcW w:w="1276" w:type="dxa"/>
            <w:shd w:val="clear" w:color="auto" w:fill="auto"/>
            <w:noWrap/>
            <w:vAlign w:val="bottom"/>
            <w:hideMark/>
          </w:tcPr>
          <w:p w:rsidR="005E455D" w:rsidRPr="00EA594A" w:rsidRDefault="005E455D" w:rsidP="005E455D">
            <w:pPr>
              <w:jc w:val="center"/>
              <w:rPr>
                <w:rFonts w:cs="Arial"/>
                <w:bCs/>
                <w:color w:val="000000"/>
                <w:sz w:val="22"/>
                <w:szCs w:val="22"/>
              </w:rPr>
            </w:pPr>
            <w:r w:rsidRPr="00EA594A">
              <w:rPr>
                <w:rFonts w:cs="Arial"/>
                <w:bCs/>
                <w:color w:val="000000"/>
                <w:sz w:val="22"/>
                <w:szCs w:val="22"/>
              </w:rPr>
              <w:t>£m</w:t>
            </w:r>
          </w:p>
        </w:tc>
        <w:tc>
          <w:tcPr>
            <w:tcW w:w="1217" w:type="dxa"/>
            <w:shd w:val="clear" w:color="auto" w:fill="auto"/>
            <w:noWrap/>
            <w:vAlign w:val="bottom"/>
            <w:hideMark/>
          </w:tcPr>
          <w:p w:rsidR="005E455D" w:rsidRPr="00EA594A" w:rsidRDefault="005E455D" w:rsidP="005E455D">
            <w:pPr>
              <w:jc w:val="center"/>
              <w:rPr>
                <w:rFonts w:cs="Arial"/>
                <w:bCs/>
                <w:color w:val="000000"/>
                <w:sz w:val="22"/>
                <w:szCs w:val="22"/>
              </w:rPr>
            </w:pPr>
            <w:r w:rsidRPr="00EA594A">
              <w:rPr>
                <w:rFonts w:cs="Arial"/>
                <w:bCs/>
                <w:color w:val="000000"/>
                <w:sz w:val="22"/>
                <w:szCs w:val="22"/>
              </w:rPr>
              <w:t>£m</w:t>
            </w:r>
          </w:p>
        </w:tc>
      </w:tr>
      <w:tr w:rsidR="00CA6A90" w:rsidTr="005E455D">
        <w:trPr>
          <w:trHeight w:val="300"/>
        </w:trPr>
        <w:tc>
          <w:tcPr>
            <w:tcW w:w="3969" w:type="dxa"/>
            <w:shd w:val="clear" w:color="auto" w:fill="auto"/>
            <w:noWrap/>
            <w:vAlign w:val="bottom"/>
            <w:hideMark/>
          </w:tcPr>
          <w:p w:rsidR="005E455D" w:rsidRPr="00EA594A" w:rsidRDefault="005E455D" w:rsidP="005E455D">
            <w:pPr>
              <w:rPr>
                <w:rFonts w:cs="Arial"/>
                <w:color w:val="000000"/>
                <w:sz w:val="22"/>
                <w:szCs w:val="22"/>
              </w:rPr>
            </w:pPr>
            <w:r w:rsidRPr="00EA594A">
              <w:rPr>
                <w:rFonts w:cs="Arial"/>
                <w:color w:val="000000"/>
                <w:sz w:val="22"/>
                <w:szCs w:val="22"/>
              </w:rPr>
              <w:t>MRP</w:t>
            </w:r>
          </w:p>
        </w:tc>
        <w:tc>
          <w:tcPr>
            <w:tcW w:w="1418" w:type="dxa"/>
            <w:shd w:val="clear" w:color="auto" w:fill="auto"/>
            <w:noWrap/>
            <w:vAlign w:val="bottom"/>
            <w:hideMark/>
          </w:tcPr>
          <w:p w:rsidR="005E455D" w:rsidRPr="00EA594A" w:rsidRDefault="005E455D" w:rsidP="005E455D">
            <w:pPr>
              <w:jc w:val="right"/>
              <w:rPr>
                <w:rFonts w:cs="Arial"/>
                <w:color w:val="000000"/>
                <w:sz w:val="22"/>
                <w:szCs w:val="22"/>
              </w:rPr>
            </w:pPr>
            <w:r w:rsidRPr="00EA594A">
              <w:rPr>
                <w:rFonts w:cs="Arial"/>
                <w:color w:val="000000"/>
                <w:sz w:val="22"/>
                <w:szCs w:val="22"/>
              </w:rPr>
              <w:t>19.970</w:t>
            </w:r>
          </w:p>
        </w:tc>
        <w:tc>
          <w:tcPr>
            <w:tcW w:w="1276" w:type="dxa"/>
            <w:shd w:val="clear" w:color="auto" w:fill="auto"/>
            <w:noWrap/>
            <w:vAlign w:val="bottom"/>
            <w:hideMark/>
          </w:tcPr>
          <w:p w:rsidR="005E455D" w:rsidRPr="00EA594A" w:rsidRDefault="005E455D" w:rsidP="005E455D">
            <w:pPr>
              <w:jc w:val="right"/>
              <w:rPr>
                <w:rFonts w:cs="Arial"/>
                <w:color w:val="000000"/>
                <w:sz w:val="22"/>
                <w:szCs w:val="22"/>
              </w:rPr>
            </w:pPr>
            <w:r w:rsidRPr="00EA594A">
              <w:rPr>
                <w:rFonts w:cs="Arial"/>
                <w:color w:val="000000"/>
                <w:sz w:val="22"/>
                <w:szCs w:val="22"/>
              </w:rPr>
              <w:t>20.046</w:t>
            </w:r>
          </w:p>
        </w:tc>
        <w:tc>
          <w:tcPr>
            <w:tcW w:w="1217" w:type="dxa"/>
            <w:shd w:val="clear" w:color="auto" w:fill="auto"/>
            <w:noWrap/>
            <w:vAlign w:val="bottom"/>
            <w:hideMark/>
          </w:tcPr>
          <w:p w:rsidR="005E455D" w:rsidRPr="00EA594A" w:rsidRDefault="005E455D" w:rsidP="005E455D">
            <w:pPr>
              <w:jc w:val="right"/>
              <w:rPr>
                <w:rFonts w:cs="Arial"/>
                <w:color w:val="000000"/>
                <w:sz w:val="22"/>
                <w:szCs w:val="22"/>
              </w:rPr>
            </w:pPr>
            <w:r w:rsidRPr="00EA594A">
              <w:rPr>
                <w:rFonts w:cs="Arial"/>
                <w:color w:val="000000"/>
                <w:sz w:val="22"/>
                <w:szCs w:val="22"/>
              </w:rPr>
              <w:t>0.076</w:t>
            </w:r>
          </w:p>
        </w:tc>
      </w:tr>
      <w:tr w:rsidR="00CA6A90" w:rsidTr="005E455D">
        <w:trPr>
          <w:trHeight w:val="300"/>
        </w:trPr>
        <w:tc>
          <w:tcPr>
            <w:tcW w:w="3969" w:type="dxa"/>
            <w:shd w:val="clear" w:color="auto" w:fill="auto"/>
            <w:noWrap/>
            <w:vAlign w:val="bottom"/>
            <w:hideMark/>
          </w:tcPr>
          <w:p w:rsidR="005E455D" w:rsidRPr="00EA594A" w:rsidRDefault="005E455D" w:rsidP="005E455D">
            <w:pPr>
              <w:rPr>
                <w:rFonts w:cs="Arial"/>
                <w:color w:val="000000"/>
                <w:sz w:val="22"/>
                <w:szCs w:val="22"/>
              </w:rPr>
            </w:pPr>
            <w:r w:rsidRPr="00EA594A">
              <w:rPr>
                <w:rFonts w:cs="Arial"/>
                <w:color w:val="000000"/>
                <w:sz w:val="22"/>
                <w:szCs w:val="22"/>
              </w:rPr>
              <w:t>Interest Paid</w:t>
            </w:r>
          </w:p>
        </w:tc>
        <w:tc>
          <w:tcPr>
            <w:tcW w:w="1418" w:type="dxa"/>
            <w:shd w:val="clear" w:color="auto" w:fill="auto"/>
            <w:noWrap/>
            <w:vAlign w:val="bottom"/>
            <w:hideMark/>
          </w:tcPr>
          <w:p w:rsidR="005E455D" w:rsidRPr="00EA594A" w:rsidRDefault="005E455D" w:rsidP="005E455D">
            <w:pPr>
              <w:jc w:val="right"/>
              <w:rPr>
                <w:rFonts w:cs="Arial"/>
                <w:color w:val="000000"/>
                <w:sz w:val="22"/>
                <w:szCs w:val="22"/>
              </w:rPr>
            </w:pPr>
            <w:r w:rsidRPr="00EA594A">
              <w:rPr>
                <w:rFonts w:cs="Arial"/>
                <w:color w:val="000000"/>
                <w:sz w:val="22"/>
                <w:szCs w:val="22"/>
              </w:rPr>
              <w:t>24.280</w:t>
            </w:r>
          </w:p>
        </w:tc>
        <w:tc>
          <w:tcPr>
            <w:tcW w:w="1276" w:type="dxa"/>
            <w:shd w:val="clear" w:color="auto" w:fill="auto"/>
            <w:noWrap/>
            <w:vAlign w:val="bottom"/>
            <w:hideMark/>
          </w:tcPr>
          <w:p w:rsidR="005E455D" w:rsidRPr="00EA594A" w:rsidRDefault="005E455D" w:rsidP="005E455D">
            <w:pPr>
              <w:jc w:val="right"/>
              <w:rPr>
                <w:rFonts w:cs="Arial"/>
                <w:color w:val="000000"/>
                <w:sz w:val="22"/>
                <w:szCs w:val="22"/>
              </w:rPr>
            </w:pPr>
            <w:r w:rsidRPr="00EA594A">
              <w:rPr>
                <w:rFonts w:cs="Arial"/>
                <w:color w:val="000000"/>
                <w:sz w:val="22"/>
                <w:szCs w:val="22"/>
              </w:rPr>
              <w:t>22.34</w:t>
            </w:r>
            <w:r>
              <w:rPr>
                <w:rFonts w:cs="Arial"/>
                <w:color w:val="000000"/>
                <w:sz w:val="22"/>
                <w:szCs w:val="22"/>
              </w:rPr>
              <w:t>0</w:t>
            </w:r>
          </w:p>
        </w:tc>
        <w:tc>
          <w:tcPr>
            <w:tcW w:w="1217" w:type="dxa"/>
            <w:shd w:val="clear" w:color="auto" w:fill="auto"/>
            <w:noWrap/>
            <w:vAlign w:val="bottom"/>
            <w:hideMark/>
          </w:tcPr>
          <w:p w:rsidR="005E455D" w:rsidRPr="00EA594A" w:rsidRDefault="005E455D" w:rsidP="005E455D">
            <w:pPr>
              <w:jc w:val="right"/>
              <w:rPr>
                <w:rFonts w:cs="Arial"/>
                <w:color w:val="000000"/>
                <w:sz w:val="22"/>
                <w:szCs w:val="22"/>
              </w:rPr>
            </w:pPr>
            <w:r w:rsidRPr="00EA594A">
              <w:rPr>
                <w:rFonts w:cs="Arial"/>
                <w:color w:val="000000"/>
                <w:sz w:val="22"/>
                <w:szCs w:val="22"/>
              </w:rPr>
              <w:t>-1.940</w:t>
            </w:r>
          </w:p>
        </w:tc>
      </w:tr>
      <w:tr w:rsidR="00CA6A90" w:rsidTr="005E455D">
        <w:trPr>
          <w:trHeight w:val="300"/>
        </w:trPr>
        <w:tc>
          <w:tcPr>
            <w:tcW w:w="3969" w:type="dxa"/>
            <w:shd w:val="clear" w:color="auto" w:fill="auto"/>
            <w:noWrap/>
            <w:vAlign w:val="bottom"/>
            <w:hideMark/>
          </w:tcPr>
          <w:p w:rsidR="005E455D" w:rsidRPr="00EA594A" w:rsidRDefault="005E455D" w:rsidP="005E455D">
            <w:pPr>
              <w:rPr>
                <w:rFonts w:cs="Arial"/>
                <w:color w:val="000000"/>
                <w:sz w:val="22"/>
                <w:szCs w:val="22"/>
              </w:rPr>
            </w:pPr>
            <w:r w:rsidRPr="00EA594A">
              <w:rPr>
                <w:rFonts w:cs="Arial"/>
                <w:color w:val="000000"/>
                <w:sz w:val="22"/>
                <w:szCs w:val="22"/>
              </w:rPr>
              <w:t>Interest Received/surplus on sale</w:t>
            </w:r>
          </w:p>
        </w:tc>
        <w:tc>
          <w:tcPr>
            <w:tcW w:w="1418" w:type="dxa"/>
            <w:shd w:val="clear" w:color="auto" w:fill="auto"/>
            <w:noWrap/>
            <w:vAlign w:val="bottom"/>
            <w:hideMark/>
          </w:tcPr>
          <w:p w:rsidR="005E455D" w:rsidRPr="00EA594A" w:rsidRDefault="005E455D" w:rsidP="005E455D">
            <w:pPr>
              <w:jc w:val="right"/>
              <w:rPr>
                <w:rFonts w:cs="Arial"/>
                <w:color w:val="000000"/>
                <w:sz w:val="22"/>
                <w:szCs w:val="22"/>
              </w:rPr>
            </w:pPr>
            <w:r w:rsidRPr="00EA594A">
              <w:rPr>
                <w:rFonts w:cs="Arial"/>
                <w:color w:val="000000"/>
                <w:sz w:val="22"/>
                <w:szCs w:val="22"/>
              </w:rPr>
              <w:t>-11.670</w:t>
            </w:r>
          </w:p>
        </w:tc>
        <w:tc>
          <w:tcPr>
            <w:tcW w:w="1276" w:type="dxa"/>
            <w:shd w:val="clear" w:color="auto" w:fill="auto"/>
            <w:noWrap/>
            <w:vAlign w:val="bottom"/>
            <w:hideMark/>
          </w:tcPr>
          <w:p w:rsidR="005E455D" w:rsidRPr="00EA594A" w:rsidRDefault="005E455D" w:rsidP="005E455D">
            <w:pPr>
              <w:jc w:val="right"/>
              <w:rPr>
                <w:rFonts w:cs="Arial"/>
                <w:color w:val="000000"/>
                <w:sz w:val="22"/>
                <w:szCs w:val="22"/>
              </w:rPr>
            </w:pPr>
            <w:r w:rsidRPr="00EA594A">
              <w:rPr>
                <w:rFonts w:cs="Arial"/>
                <w:color w:val="000000"/>
                <w:sz w:val="22"/>
                <w:szCs w:val="22"/>
              </w:rPr>
              <w:t>-33.23</w:t>
            </w:r>
            <w:r>
              <w:rPr>
                <w:rFonts w:cs="Arial"/>
                <w:color w:val="000000"/>
                <w:sz w:val="22"/>
                <w:szCs w:val="22"/>
              </w:rPr>
              <w:t>1</w:t>
            </w:r>
          </w:p>
        </w:tc>
        <w:tc>
          <w:tcPr>
            <w:tcW w:w="1217" w:type="dxa"/>
            <w:shd w:val="clear" w:color="auto" w:fill="auto"/>
            <w:noWrap/>
            <w:vAlign w:val="bottom"/>
            <w:hideMark/>
          </w:tcPr>
          <w:p w:rsidR="005E455D" w:rsidRPr="00EA594A" w:rsidRDefault="005E455D" w:rsidP="005E455D">
            <w:pPr>
              <w:jc w:val="right"/>
              <w:rPr>
                <w:rFonts w:cs="Arial"/>
                <w:color w:val="000000"/>
                <w:sz w:val="22"/>
                <w:szCs w:val="22"/>
              </w:rPr>
            </w:pPr>
            <w:r w:rsidRPr="00EA594A">
              <w:rPr>
                <w:rFonts w:cs="Arial"/>
                <w:color w:val="000000"/>
                <w:sz w:val="22"/>
                <w:szCs w:val="22"/>
              </w:rPr>
              <w:t>-21.56</w:t>
            </w:r>
            <w:r>
              <w:rPr>
                <w:rFonts w:cs="Arial"/>
                <w:color w:val="000000"/>
                <w:sz w:val="22"/>
                <w:szCs w:val="22"/>
              </w:rPr>
              <w:t>1</w:t>
            </w:r>
          </w:p>
        </w:tc>
      </w:tr>
      <w:tr w:rsidR="00CA6A90" w:rsidTr="005E455D">
        <w:trPr>
          <w:trHeight w:val="300"/>
        </w:trPr>
        <w:tc>
          <w:tcPr>
            <w:tcW w:w="3969" w:type="dxa"/>
            <w:shd w:val="clear" w:color="auto" w:fill="DBE5F1" w:themeFill="accent1" w:themeFillTint="33"/>
            <w:noWrap/>
            <w:vAlign w:val="bottom"/>
            <w:hideMark/>
          </w:tcPr>
          <w:p w:rsidR="005E455D" w:rsidRPr="00EA594A" w:rsidRDefault="005E455D" w:rsidP="005E455D">
            <w:pPr>
              <w:rPr>
                <w:rFonts w:cs="Arial"/>
                <w:b/>
                <w:bCs/>
                <w:color w:val="000000"/>
                <w:sz w:val="22"/>
                <w:szCs w:val="22"/>
              </w:rPr>
            </w:pPr>
            <w:r w:rsidRPr="00EA594A">
              <w:rPr>
                <w:rFonts w:cs="Arial"/>
                <w:b/>
                <w:bCs/>
                <w:color w:val="000000"/>
                <w:sz w:val="22"/>
                <w:szCs w:val="22"/>
              </w:rPr>
              <w:t>Total</w:t>
            </w:r>
          </w:p>
        </w:tc>
        <w:tc>
          <w:tcPr>
            <w:tcW w:w="1418" w:type="dxa"/>
            <w:shd w:val="clear" w:color="auto" w:fill="DBE5F1" w:themeFill="accent1" w:themeFillTint="33"/>
            <w:noWrap/>
            <w:vAlign w:val="bottom"/>
            <w:hideMark/>
          </w:tcPr>
          <w:p w:rsidR="005E455D" w:rsidRPr="00EA594A" w:rsidRDefault="005E455D" w:rsidP="005E455D">
            <w:pPr>
              <w:jc w:val="right"/>
              <w:rPr>
                <w:rFonts w:cs="Arial"/>
                <w:b/>
                <w:bCs/>
                <w:color w:val="000000"/>
                <w:sz w:val="22"/>
                <w:szCs w:val="22"/>
              </w:rPr>
            </w:pPr>
            <w:r w:rsidRPr="00EA594A">
              <w:rPr>
                <w:rFonts w:cs="Arial"/>
                <w:b/>
                <w:bCs/>
                <w:color w:val="000000"/>
                <w:sz w:val="22"/>
                <w:szCs w:val="22"/>
              </w:rPr>
              <w:t>32.580</w:t>
            </w:r>
          </w:p>
        </w:tc>
        <w:tc>
          <w:tcPr>
            <w:tcW w:w="1276" w:type="dxa"/>
            <w:shd w:val="clear" w:color="auto" w:fill="DBE5F1" w:themeFill="accent1" w:themeFillTint="33"/>
            <w:noWrap/>
            <w:vAlign w:val="bottom"/>
            <w:hideMark/>
          </w:tcPr>
          <w:p w:rsidR="005E455D" w:rsidRPr="00EA594A" w:rsidRDefault="005E455D" w:rsidP="005E455D">
            <w:pPr>
              <w:jc w:val="right"/>
              <w:rPr>
                <w:rFonts w:cs="Arial"/>
                <w:b/>
                <w:bCs/>
                <w:color w:val="000000"/>
                <w:sz w:val="22"/>
                <w:szCs w:val="22"/>
              </w:rPr>
            </w:pPr>
            <w:r w:rsidRPr="00EA594A">
              <w:rPr>
                <w:rFonts w:cs="Arial"/>
                <w:b/>
                <w:bCs/>
                <w:color w:val="000000"/>
                <w:sz w:val="22"/>
                <w:szCs w:val="22"/>
              </w:rPr>
              <w:t>9.155</w:t>
            </w:r>
          </w:p>
        </w:tc>
        <w:tc>
          <w:tcPr>
            <w:tcW w:w="1217" w:type="dxa"/>
            <w:shd w:val="clear" w:color="auto" w:fill="DBE5F1" w:themeFill="accent1" w:themeFillTint="33"/>
            <w:noWrap/>
            <w:vAlign w:val="bottom"/>
            <w:hideMark/>
          </w:tcPr>
          <w:p w:rsidR="005E455D" w:rsidRPr="00EA594A" w:rsidRDefault="005E455D" w:rsidP="005E455D">
            <w:pPr>
              <w:jc w:val="right"/>
              <w:rPr>
                <w:rFonts w:cs="Arial"/>
                <w:b/>
                <w:bCs/>
                <w:color w:val="000000"/>
                <w:sz w:val="22"/>
                <w:szCs w:val="22"/>
              </w:rPr>
            </w:pPr>
            <w:r w:rsidRPr="00EA594A">
              <w:rPr>
                <w:rFonts w:cs="Arial"/>
                <w:b/>
                <w:bCs/>
                <w:color w:val="000000"/>
                <w:sz w:val="22"/>
                <w:szCs w:val="22"/>
              </w:rPr>
              <w:t>-23.425</w:t>
            </w:r>
          </w:p>
        </w:tc>
      </w:tr>
    </w:tbl>
    <w:p w:rsidR="005E455D" w:rsidRDefault="005E455D" w:rsidP="005E455D">
      <w:pPr>
        <w:jc w:val="both"/>
        <w:rPr>
          <w:b/>
          <w:szCs w:val="24"/>
        </w:rPr>
      </w:pPr>
    </w:p>
    <w:p w:rsidR="005E455D" w:rsidRPr="00831231" w:rsidRDefault="005E455D" w:rsidP="005E455D">
      <w:pPr>
        <w:jc w:val="both"/>
        <w:rPr>
          <w:b/>
          <w:szCs w:val="24"/>
        </w:rPr>
      </w:pPr>
      <w:r w:rsidRPr="00831231">
        <w:rPr>
          <w:b/>
          <w:szCs w:val="24"/>
        </w:rPr>
        <w:t>Treasury Management and Prudential Indicators 2016/17</w:t>
      </w:r>
    </w:p>
    <w:p w:rsidR="005E455D" w:rsidRPr="00831231" w:rsidRDefault="005E455D" w:rsidP="005E455D">
      <w:pPr>
        <w:autoSpaceDE w:val="0"/>
        <w:autoSpaceDN w:val="0"/>
        <w:jc w:val="both"/>
        <w:rPr>
          <w:b/>
          <w:color w:val="000000" w:themeColor="text1"/>
        </w:rPr>
      </w:pPr>
    </w:p>
    <w:p w:rsidR="005E455D" w:rsidRPr="00831231" w:rsidRDefault="005E455D" w:rsidP="005E455D">
      <w:pPr>
        <w:jc w:val="both"/>
        <w:rPr>
          <w:b/>
          <w:szCs w:val="24"/>
        </w:rPr>
      </w:pPr>
      <w:r w:rsidRPr="00831231">
        <w:rPr>
          <w:szCs w:val="24"/>
        </w:rPr>
        <w:t>The Local Government Act 2003 and supporting regulations require the County Council to have regard to the Prudential Code and to set prudential indicators to ensure the Council's capital investment plans are affordable, prudent and sustainable</w:t>
      </w:r>
      <w:r w:rsidRPr="00831231">
        <w:rPr>
          <w:b/>
          <w:szCs w:val="24"/>
        </w:rPr>
        <w:t>.</w:t>
      </w:r>
    </w:p>
    <w:p w:rsidR="005E455D" w:rsidRPr="00831231" w:rsidRDefault="005E455D" w:rsidP="005E455D">
      <w:pPr>
        <w:jc w:val="both"/>
        <w:rPr>
          <w:b/>
          <w:szCs w:val="24"/>
        </w:rPr>
      </w:pPr>
    </w:p>
    <w:p w:rsidR="005E455D" w:rsidRPr="00831231" w:rsidRDefault="005E455D" w:rsidP="005E455D">
      <w:pPr>
        <w:jc w:val="both"/>
        <w:rPr>
          <w:szCs w:val="24"/>
        </w:rPr>
      </w:pPr>
      <w:r w:rsidRPr="00831231">
        <w:rPr>
          <w:szCs w:val="24"/>
        </w:rPr>
        <w:t xml:space="preserve">A comparison of the actual position at 31 March 2017 compared to the </w:t>
      </w:r>
      <w:r>
        <w:rPr>
          <w:szCs w:val="24"/>
        </w:rPr>
        <w:t xml:space="preserve">revised 2016/17 </w:t>
      </w:r>
      <w:r w:rsidRPr="00831231">
        <w:rPr>
          <w:szCs w:val="24"/>
        </w:rPr>
        <w:t>indicators set in the Treasury Management Strategy for 201</w:t>
      </w:r>
      <w:r>
        <w:rPr>
          <w:szCs w:val="24"/>
        </w:rPr>
        <w:t>6</w:t>
      </w:r>
      <w:r w:rsidRPr="00831231">
        <w:rPr>
          <w:szCs w:val="24"/>
        </w:rPr>
        <w:t>/1</w:t>
      </w:r>
      <w:r>
        <w:rPr>
          <w:szCs w:val="24"/>
        </w:rPr>
        <w:t>7</w:t>
      </w:r>
      <w:r w:rsidRPr="00831231">
        <w:rPr>
          <w:szCs w:val="24"/>
        </w:rPr>
        <w:t xml:space="preserve"> </w:t>
      </w:r>
      <w:r>
        <w:rPr>
          <w:szCs w:val="24"/>
        </w:rPr>
        <w:t>is</w:t>
      </w:r>
      <w:r w:rsidRPr="00831231">
        <w:rPr>
          <w:szCs w:val="24"/>
        </w:rPr>
        <w:t xml:space="preserve"> set out </w:t>
      </w:r>
      <w:r>
        <w:rPr>
          <w:szCs w:val="24"/>
        </w:rPr>
        <w:t>as follows:</w:t>
      </w:r>
    </w:p>
    <w:p w:rsidR="005E455D" w:rsidRDefault="005E455D" w:rsidP="005E455D">
      <w:pPr>
        <w:jc w:val="both"/>
        <w:rPr>
          <w:szCs w:val="24"/>
          <w:highlight w:val="yellow"/>
        </w:rPr>
      </w:pPr>
    </w:p>
    <w:p w:rsidR="005E455D" w:rsidRDefault="005E455D" w:rsidP="005E455D">
      <w:pPr>
        <w:jc w:val="both"/>
        <w:rPr>
          <w:szCs w:val="24"/>
          <w:highlight w:val="yellow"/>
        </w:rPr>
      </w:pPr>
    </w:p>
    <w:p w:rsidR="005E455D" w:rsidRPr="00B8625A" w:rsidRDefault="005E455D" w:rsidP="005E455D">
      <w:pPr>
        <w:jc w:val="both"/>
        <w:rPr>
          <w:rFonts w:ascii="TT3691C3o00" w:hAnsi="TT3691C3o00" w:cs="TT3691C3o00"/>
          <w:b/>
          <w:szCs w:val="24"/>
        </w:rPr>
      </w:pPr>
      <w:r w:rsidRPr="00B8625A">
        <w:rPr>
          <w:b/>
          <w:szCs w:val="24"/>
          <w:u w:val="single"/>
        </w:rPr>
        <w:t>Prudential Indicators</w:t>
      </w:r>
    </w:p>
    <w:p w:rsidR="005E455D" w:rsidRDefault="005E455D" w:rsidP="005E455D">
      <w:pPr>
        <w:jc w:val="both"/>
        <w:rPr>
          <w:highlight w:val="yellow"/>
        </w:rPr>
      </w:pPr>
    </w:p>
    <w:p w:rsidR="005E455D" w:rsidRDefault="005E455D" w:rsidP="005E455D">
      <w:pPr>
        <w:jc w:val="both"/>
        <w:rPr>
          <w:rFonts w:ascii="Times New Roman" w:hAnsi="Times New Roman"/>
          <w:sz w:val="20"/>
        </w:rPr>
      </w:pPr>
      <w:r>
        <w:rPr>
          <w:highlight w:val="yellow"/>
        </w:rPr>
        <w:fldChar w:fldCharType="begin"/>
      </w:r>
      <w:r>
        <w:rPr>
          <w:highlight w:val="yellow"/>
        </w:rPr>
        <w:instrText xml:space="preserve"> LINK Excel.Sheet.12 "Book1" "Sheet1!R4C3:R26C5" \a \f 4 \h  \* MERGEFORMAT </w:instrText>
      </w:r>
      <w:r>
        <w:rPr>
          <w:highlight w:val="yellow"/>
        </w:rPr>
        <w:fldChar w:fldCharType="separate"/>
      </w:r>
    </w:p>
    <w:tbl>
      <w:tblPr>
        <w:tblW w:w="7740" w:type="dxa"/>
        <w:tblInd w:w="641" w:type="dxa"/>
        <w:tblLook w:val="04A0" w:firstRow="1" w:lastRow="0" w:firstColumn="1" w:lastColumn="0" w:noHBand="0" w:noVBand="1"/>
      </w:tblPr>
      <w:tblGrid>
        <w:gridCol w:w="4720"/>
        <w:gridCol w:w="1510"/>
        <w:gridCol w:w="1510"/>
      </w:tblGrid>
      <w:tr w:rsidR="00CA6A90" w:rsidTr="005E455D">
        <w:trPr>
          <w:trHeight w:val="60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5D" w:rsidRPr="00523316" w:rsidRDefault="005E455D" w:rsidP="005E455D">
            <w:pPr>
              <w:rPr>
                <w:rFonts w:cs="Arial"/>
                <w:b/>
                <w:bCs/>
                <w:color w:val="000000"/>
                <w:sz w:val="22"/>
                <w:szCs w:val="22"/>
              </w:rPr>
            </w:pPr>
            <w:r w:rsidRPr="00523316">
              <w:rPr>
                <w:rFonts w:cs="Arial"/>
                <w:b/>
                <w:bCs/>
                <w:color w:val="000000"/>
                <w:sz w:val="22"/>
                <w:szCs w:val="22"/>
              </w:rPr>
              <w:t>1. Adoption of CIPFA Treasury Management Code of Practice</w:t>
            </w:r>
          </w:p>
        </w:tc>
        <w:tc>
          <w:tcPr>
            <w:tcW w:w="3020" w:type="dxa"/>
            <w:gridSpan w:val="2"/>
            <w:tcBorders>
              <w:top w:val="single" w:sz="4" w:space="0" w:color="auto"/>
              <w:left w:val="nil"/>
              <w:bottom w:val="single" w:sz="4" w:space="0" w:color="auto"/>
              <w:right w:val="single" w:sz="4" w:space="0" w:color="auto"/>
            </w:tcBorders>
            <w:shd w:val="clear" w:color="auto" w:fill="auto"/>
            <w:vAlign w:val="center"/>
            <w:hideMark/>
          </w:tcPr>
          <w:p w:rsidR="005E455D" w:rsidRPr="00523316" w:rsidRDefault="005E455D" w:rsidP="005E455D">
            <w:pPr>
              <w:jc w:val="center"/>
              <w:rPr>
                <w:rFonts w:cs="Arial"/>
                <w:color w:val="000000"/>
                <w:sz w:val="22"/>
                <w:szCs w:val="22"/>
              </w:rPr>
            </w:pPr>
            <w:r w:rsidRPr="00523316">
              <w:rPr>
                <w:rFonts w:cs="Arial"/>
                <w:color w:val="000000"/>
                <w:sz w:val="22"/>
                <w:szCs w:val="22"/>
              </w:rPr>
              <w:t>Adopted</w:t>
            </w:r>
          </w:p>
        </w:tc>
      </w:tr>
      <w:tr w:rsidR="00CA6A90" w:rsidTr="005E455D">
        <w:trPr>
          <w:trHeight w:val="300"/>
        </w:trPr>
        <w:tc>
          <w:tcPr>
            <w:tcW w:w="4720" w:type="dxa"/>
            <w:tcBorders>
              <w:top w:val="nil"/>
              <w:left w:val="nil"/>
              <w:bottom w:val="nil"/>
              <w:right w:val="nil"/>
            </w:tcBorders>
            <w:shd w:val="clear" w:color="auto" w:fill="auto"/>
            <w:vAlign w:val="bottom"/>
            <w:hideMark/>
          </w:tcPr>
          <w:p w:rsidR="005E455D" w:rsidRPr="00523316" w:rsidRDefault="005E455D" w:rsidP="005E455D">
            <w:pPr>
              <w:jc w:val="center"/>
              <w:rPr>
                <w:rFonts w:cs="Arial"/>
                <w:color w:val="000000"/>
                <w:sz w:val="22"/>
                <w:szCs w:val="22"/>
              </w:rPr>
            </w:pPr>
          </w:p>
        </w:tc>
        <w:tc>
          <w:tcPr>
            <w:tcW w:w="1510" w:type="dxa"/>
            <w:tcBorders>
              <w:top w:val="nil"/>
              <w:left w:val="nil"/>
              <w:bottom w:val="nil"/>
              <w:right w:val="nil"/>
            </w:tcBorders>
            <w:shd w:val="clear" w:color="auto" w:fill="auto"/>
            <w:noWrap/>
            <w:vAlign w:val="bottom"/>
            <w:hideMark/>
          </w:tcPr>
          <w:p w:rsidR="005E455D" w:rsidRPr="00523316" w:rsidRDefault="005E455D" w:rsidP="005E455D">
            <w:pPr>
              <w:rPr>
                <w:rFonts w:cs="Arial"/>
                <w:sz w:val="22"/>
                <w:szCs w:val="22"/>
              </w:rPr>
            </w:pPr>
          </w:p>
        </w:tc>
        <w:tc>
          <w:tcPr>
            <w:tcW w:w="1510" w:type="dxa"/>
            <w:tcBorders>
              <w:top w:val="nil"/>
              <w:left w:val="nil"/>
              <w:bottom w:val="nil"/>
              <w:right w:val="nil"/>
            </w:tcBorders>
            <w:shd w:val="clear" w:color="auto" w:fill="auto"/>
            <w:noWrap/>
            <w:vAlign w:val="bottom"/>
            <w:hideMark/>
          </w:tcPr>
          <w:p w:rsidR="005E455D" w:rsidRPr="00523316" w:rsidRDefault="005E455D" w:rsidP="005E455D">
            <w:pPr>
              <w:rPr>
                <w:rFonts w:cs="Arial"/>
                <w:sz w:val="22"/>
                <w:szCs w:val="22"/>
              </w:rPr>
            </w:pPr>
          </w:p>
        </w:tc>
      </w:tr>
      <w:tr w:rsidR="00CA6A90" w:rsidTr="005E455D">
        <w:trPr>
          <w:trHeight w:val="127"/>
        </w:trPr>
        <w:tc>
          <w:tcPr>
            <w:tcW w:w="4720" w:type="dxa"/>
            <w:tcBorders>
              <w:top w:val="nil"/>
              <w:left w:val="nil"/>
              <w:bottom w:val="nil"/>
              <w:right w:val="nil"/>
            </w:tcBorders>
            <w:shd w:val="clear" w:color="auto" w:fill="auto"/>
            <w:vAlign w:val="bottom"/>
            <w:hideMark/>
          </w:tcPr>
          <w:p w:rsidR="005E455D" w:rsidRPr="00523316" w:rsidRDefault="005E455D" w:rsidP="005E455D">
            <w:pPr>
              <w:rPr>
                <w:rFonts w:cs="Arial"/>
                <w:sz w:val="22"/>
                <w:szCs w:val="22"/>
              </w:rPr>
            </w:pPr>
          </w:p>
        </w:tc>
        <w:tc>
          <w:tcPr>
            <w:tcW w:w="1510" w:type="dxa"/>
            <w:tcBorders>
              <w:top w:val="single" w:sz="4" w:space="0" w:color="auto"/>
              <w:left w:val="single" w:sz="4" w:space="0" w:color="auto"/>
              <w:bottom w:val="nil"/>
              <w:right w:val="single" w:sz="4" w:space="0" w:color="auto"/>
            </w:tcBorders>
            <w:shd w:val="clear" w:color="000000" w:fill="D9E1F2"/>
            <w:noWrap/>
            <w:vAlign w:val="bottom"/>
            <w:hideMark/>
          </w:tcPr>
          <w:p w:rsidR="005E455D" w:rsidRPr="00523316" w:rsidRDefault="005E455D" w:rsidP="005E455D">
            <w:pPr>
              <w:rPr>
                <w:rFonts w:cs="Arial"/>
                <w:b/>
                <w:bCs/>
                <w:color w:val="000000"/>
                <w:sz w:val="20"/>
              </w:rPr>
            </w:pPr>
            <w:r w:rsidRPr="00523316">
              <w:rPr>
                <w:rFonts w:cs="Arial"/>
                <w:b/>
                <w:bCs/>
                <w:color w:val="000000"/>
                <w:sz w:val="20"/>
              </w:rPr>
              <w:t>£m</w:t>
            </w:r>
          </w:p>
        </w:tc>
        <w:tc>
          <w:tcPr>
            <w:tcW w:w="1510" w:type="dxa"/>
            <w:tcBorders>
              <w:top w:val="single" w:sz="4" w:space="0" w:color="auto"/>
              <w:left w:val="nil"/>
              <w:bottom w:val="nil"/>
              <w:right w:val="single" w:sz="4" w:space="0" w:color="auto"/>
            </w:tcBorders>
            <w:shd w:val="clear" w:color="000000" w:fill="D9E1F2"/>
            <w:noWrap/>
            <w:vAlign w:val="bottom"/>
            <w:hideMark/>
          </w:tcPr>
          <w:p w:rsidR="005E455D" w:rsidRPr="00523316" w:rsidRDefault="005E455D" w:rsidP="005E455D">
            <w:pPr>
              <w:rPr>
                <w:rFonts w:cs="Arial"/>
                <w:b/>
                <w:bCs/>
                <w:color w:val="000000"/>
                <w:sz w:val="20"/>
              </w:rPr>
            </w:pPr>
            <w:r w:rsidRPr="00523316">
              <w:rPr>
                <w:rFonts w:cs="Arial"/>
                <w:b/>
                <w:bCs/>
                <w:color w:val="000000"/>
                <w:sz w:val="20"/>
              </w:rPr>
              <w:t>£m</w:t>
            </w:r>
          </w:p>
        </w:tc>
      </w:tr>
      <w:tr w:rsidR="00CA6A90" w:rsidTr="005E455D">
        <w:trPr>
          <w:trHeight w:val="169"/>
        </w:trPr>
        <w:tc>
          <w:tcPr>
            <w:tcW w:w="4720" w:type="dxa"/>
            <w:tcBorders>
              <w:top w:val="nil"/>
              <w:left w:val="nil"/>
              <w:bottom w:val="nil"/>
              <w:right w:val="nil"/>
            </w:tcBorders>
            <w:shd w:val="clear" w:color="auto" w:fill="auto"/>
            <w:vAlign w:val="bottom"/>
            <w:hideMark/>
          </w:tcPr>
          <w:p w:rsidR="005E455D" w:rsidRPr="00523316" w:rsidRDefault="005E455D" w:rsidP="005E455D">
            <w:pPr>
              <w:rPr>
                <w:rFonts w:cs="Arial"/>
                <w:b/>
                <w:bCs/>
                <w:color w:val="000000"/>
                <w:sz w:val="22"/>
                <w:szCs w:val="22"/>
              </w:rPr>
            </w:pPr>
          </w:p>
        </w:tc>
        <w:tc>
          <w:tcPr>
            <w:tcW w:w="1510" w:type="dxa"/>
            <w:tcBorders>
              <w:top w:val="nil"/>
              <w:left w:val="single" w:sz="4" w:space="0" w:color="auto"/>
              <w:bottom w:val="nil"/>
              <w:right w:val="single" w:sz="4" w:space="0" w:color="auto"/>
            </w:tcBorders>
            <w:shd w:val="clear" w:color="000000" w:fill="D9E1F2"/>
            <w:noWrap/>
            <w:vAlign w:val="bottom"/>
            <w:hideMark/>
          </w:tcPr>
          <w:p w:rsidR="005E455D" w:rsidRPr="00523316" w:rsidRDefault="005E455D" w:rsidP="005E455D">
            <w:pPr>
              <w:rPr>
                <w:rFonts w:cs="Arial"/>
                <w:b/>
                <w:bCs/>
                <w:color w:val="000000"/>
                <w:sz w:val="20"/>
              </w:rPr>
            </w:pPr>
            <w:r w:rsidRPr="00523316">
              <w:rPr>
                <w:rFonts w:cs="Arial"/>
                <w:b/>
                <w:bCs/>
                <w:color w:val="000000"/>
                <w:sz w:val="20"/>
              </w:rPr>
              <w:t>2016/17</w:t>
            </w:r>
          </w:p>
        </w:tc>
        <w:tc>
          <w:tcPr>
            <w:tcW w:w="1510" w:type="dxa"/>
            <w:tcBorders>
              <w:top w:val="nil"/>
              <w:left w:val="nil"/>
              <w:bottom w:val="nil"/>
              <w:right w:val="single" w:sz="4" w:space="0" w:color="auto"/>
            </w:tcBorders>
            <w:shd w:val="clear" w:color="000000" w:fill="D9E1F2"/>
            <w:noWrap/>
            <w:vAlign w:val="bottom"/>
            <w:hideMark/>
          </w:tcPr>
          <w:p w:rsidR="005E455D" w:rsidRPr="00523316" w:rsidRDefault="005E455D" w:rsidP="005E455D">
            <w:pPr>
              <w:rPr>
                <w:rFonts w:cs="Arial"/>
                <w:b/>
                <w:bCs/>
                <w:color w:val="000000"/>
                <w:sz w:val="20"/>
              </w:rPr>
            </w:pPr>
            <w:r w:rsidRPr="00523316">
              <w:rPr>
                <w:rFonts w:cs="Arial"/>
                <w:b/>
                <w:bCs/>
                <w:color w:val="000000"/>
                <w:sz w:val="20"/>
              </w:rPr>
              <w:t xml:space="preserve">2016/17 </w:t>
            </w:r>
          </w:p>
        </w:tc>
      </w:tr>
      <w:tr w:rsidR="00CA6A90" w:rsidTr="005E455D">
        <w:trPr>
          <w:trHeight w:val="89"/>
        </w:trPr>
        <w:tc>
          <w:tcPr>
            <w:tcW w:w="4720" w:type="dxa"/>
            <w:tcBorders>
              <w:top w:val="nil"/>
              <w:left w:val="nil"/>
              <w:bottom w:val="nil"/>
              <w:right w:val="nil"/>
            </w:tcBorders>
            <w:shd w:val="clear" w:color="auto" w:fill="auto"/>
            <w:vAlign w:val="bottom"/>
            <w:hideMark/>
          </w:tcPr>
          <w:p w:rsidR="005E455D" w:rsidRPr="00523316" w:rsidRDefault="005E455D" w:rsidP="005E455D">
            <w:pPr>
              <w:rPr>
                <w:rFonts w:cs="Arial"/>
                <w:b/>
                <w:bCs/>
                <w:color w:val="000000"/>
                <w:sz w:val="22"/>
                <w:szCs w:val="22"/>
              </w:rPr>
            </w:pPr>
          </w:p>
        </w:tc>
        <w:tc>
          <w:tcPr>
            <w:tcW w:w="1510" w:type="dxa"/>
            <w:tcBorders>
              <w:top w:val="nil"/>
              <w:left w:val="single" w:sz="4" w:space="0" w:color="auto"/>
              <w:bottom w:val="nil"/>
              <w:right w:val="single" w:sz="4" w:space="0" w:color="auto"/>
            </w:tcBorders>
            <w:shd w:val="clear" w:color="000000" w:fill="D9E1F2"/>
            <w:noWrap/>
            <w:vAlign w:val="bottom"/>
            <w:hideMark/>
          </w:tcPr>
          <w:p w:rsidR="005E455D" w:rsidRPr="00523316" w:rsidRDefault="005E455D" w:rsidP="005E455D">
            <w:pPr>
              <w:rPr>
                <w:rFonts w:cs="Arial"/>
                <w:b/>
                <w:bCs/>
                <w:color w:val="000000"/>
                <w:sz w:val="20"/>
              </w:rPr>
            </w:pPr>
            <w:r>
              <w:rPr>
                <w:rFonts w:cs="Arial"/>
                <w:b/>
                <w:bCs/>
                <w:color w:val="000000"/>
                <w:sz w:val="20"/>
              </w:rPr>
              <w:t>Indicator</w:t>
            </w:r>
          </w:p>
        </w:tc>
        <w:tc>
          <w:tcPr>
            <w:tcW w:w="1510" w:type="dxa"/>
            <w:tcBorders>
              <w:top w:val="nil"/>
              <w:left w:val="nil"/>
              <w:bottom w:val="nil"/>
              <w:right w:val="single" w:sz="4" w:space="0" w:color="auto"/>
            </w:tcBorders>
            <w:shd w:val="clear" w:color="000000" w:fill="D9E1F2"/>
            <w:noWrap/>
            <w:vAlign w:val="bottom"/>
            <w:hideMark/>
          </w:tcPr>
          <w:p w:rsidR="005E455D" w:rsidRPr="00523316" w:rsidRDefault="005E455D" w:rsidP="005E455D">
            <w:pPr>
              <w:rPr>
                <w:rFonts w:cs="Arial"/>
                <w:b/>
                <w:bCs/>
                <w:color w:val="000000"/>
                <w:sz w:val="20"/>
              </w:rPr>
            </w:pPr>
            <w:r w:rsidRPr="00523316">
              <w:rPr>
                <w:rFonts w:cs="Arial"/>
                <w:b/>
                <w:bCs/>
                <w:color w:val="000000"/>
                <w:sz w:val="20"/>
              </w:rPr>
              <w:t>Actual</w:t>
            </w:r>
          </w:p>
        </w:tc>
      </w:tr>
      <w:tr w:rsidR="00CA6A90" w:rsidTr="005E455D">
        <w:trPr>
          <w:trHeight w:val="300"/>
        </w:trPr>
        <w:tc>
          <w:tcPr>
            <w:tcW w:w="7740" w:type="dxa"/>
            <w:gridSpan w:val="3"/>
            <w:tcBorders>
              <w:top w:val="single" w:sz="4" w:space="0" w:color="auto"/>
              <w:left w:val="single" w:sz="4" w:space="0" w:color="auto"/>
              <w:bottom w:val="nil"/>
              <w:right w:val="single" w:sz="4" w:space="0" w:color="auto"/>
            </w:tcBorders>
            <w:shd w:val="clear" w:color="auto" w:fill="auto"/>
            <w:vAlign w:val="bottom"/>
            <w:hideMark/>
          </w:tcPr>
          <w:p w:rsidR="005E455D" w:rsidRPr="00523316" w:rsidRDefault="005E455D" w:rsidP="005E455D">
            <w:pPr>
              <w:rPr>
                <w:rFonts w:cs="Arial"/>
                <w:b/>
                <w:bCs/>
                <w:color w:val="000000"/>
                <w:sz w:val="22"/>
                <w:szCs w:val="22"/>
              </w:rPr>
            </w:pPr>
            <w:r w:rsidRPr="00523316">
              <w:rPr>
                <w:rFonts w:cs="Arial"/>
                <w:b/>
                <w:bCs/>
                <w:color w:val="000000"/>
                <w:sz w:val="22"/>
                <w:szCs w:val="22"/>
              </w:rPr>
              <w:t>2. Authorised limit for external debt</w:t>
            </w:r>
          </w:p>
        </w:tc>
      </w:tr>
      <w:tr w:rsidR="00CA6A90" w:rsidTr="005E455D">
        <w:trPr>
          <w:trHeight w:val="660"/>
        </w:trPr>
        <w:tc>
          <w:tcPr>
            <w:tcW w:w="7740" w:type="dxa"/>
            <w:gridSpan w:val="3"/>
            <w:tcBorders>
              <w:top w:val="single" w:sz="4" w:space="0" w:color="auto"/>
              <w:left w:val="single" w:sz="4" w:space="0" w:color="auto"/>
              <w:bottom w:val="nil"/>
              <w:right w:val="single" w:sz="4" w:space="0" w:color="000000"/>
            </w:tcBorders>
            <w:shd w:val="clear" w:color="auto" w:fill="auto"/>
            <w:vAlign w:val="bottom"/>
            <w:hideMark/>
          </w:tcPr>
          <w:p w:rsidR="005E455D" w:rsidRDefault="005E455D" w:rsidP="005E455D">
            <w:pPr>
              <w:jc w:val="both"/>
              <w:rPr>
                <w:rFonts w:cs="Arial"/>
                <w:color w:val="000000"/>
                <w:sz w:val="22"/>
                <w:szCs w:val="22"/>
              </w:rPr>
            </w:pPr>
          </w:p>
          <w:p w:rsidR="005E455D" w:rsidRPr="00523316" w:rsidRDefault="005E455D" w:rsidP="005E455D">
            <w:pPr>
              <w:jc w:val="both"/>
              <w:rPr>
                <w:rFonts w:cs="Arial"/>
                <w:color w:val="000000"/>
                <w:sz w:val="22"/>
                <w:szCs w:val="22"/>
              </w:rPr>
            </w:pPr>
            <w:r w:rsidRPr="00523316">
              <w:rPr>
                <w:rFonts w:cs="Arial"/>
                <w:color w:val="000000"/>
                <w:sz w:val="22"/>
                <w:szCs w:val="22"/>
              </w:rPr>
              <w:t>The Authorised Limit is a prudent estimate of debt which reflects the Authority's capital expenditure plans and allows sufficient headroom for unusual cash movements.</w:t>
            </w:r>
          </w:p>
        </w:tc>
      </w:tr>
      <w:tr w:rsidR="00CA6A90" w:rsidTr="005E455D">
        <w:trPr>
          <w:trHeight w:val="70"/>
        </w:trPr>
        <w:tc>
          <w:tcPr>
            <w:tcW w:w="7740" w:type="dxa"/>
            <w:gridSpan w:val="3"/>
            <w:tcBorders>
              <w:top w:val="nil"/>
              <w:left w:val="single" w:sz="4" w:space="0" w:color="auto"/>
              <w:bottom w:val="single" w:sz="4" w:space="0" w:color="auto"/>
              <w:right w:val="single" w:sz="4" w:space="0" w:color="000000"/>
            </w:tcBorders>
            <w:shd w:val="clear" w:color="auto" w:fill="auto"/>
            <w:vAlign w:val="bottom"/>
            <w:hideMark/>
          </w:tcPr>
          <w:p w:rsidR="005E455D" w:rsidRPr="00523316" w:rsidRDefault="005E455D" w:rsidP="005E455D">
            <w:pPr>
              <w:rPr>
                <w:rFonts w:cs="Arial"/>
                <w:color w:val="000000"/>
                <w:sz w:val="22"/>
                <w:szCs w:val="22"/>
              </w:rPr>
            </w:pPr>
          </w:p>
        </w:tc>
      </w:tr>
      <w:tr w:rsidR="00CA6A90" w:rsidTr="005E455D">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E455D" w:rsidRPr="00523316" w:rsidRDefault="005E455D" w:rsidP="005E455D">
            <w:pPr>
              <w:rPr>
                <w:rFonts w:cs="Arial"/>
                <w:color w:val="000000"/>
                <w:sz w:val="22"/>
                <w:szCs w:val="22"/>
              </w:rPr>
            </w:pPr>
            <w:r w:rsidRPr="00523316">
              <w:rPr>
                <w:rFonts w:cs="Arial"/>
                <w:color w:val="000000"/>
                <w:sz w:val="22"/>
                <w:szCs w:val="22"/>
              </w:rPr>
              <w:t>Borrowing</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1,100.0</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w:t>
            </w:r>
            <w:r w:rsidRPr="00EA594A">
              <w:rPr>
                <w:rFonts w:cs="Arial"/>
                <w:color w:val="000000"/>
                <w:sz w:val="22"/>
                <w:szCs w:val="22"/>
              </w:rPr>
              <w:t>,</w:t>
            </w:r>
            <w:r w:rsidRPr="00523316">
              <w:rPr>
                <w:rFonts w:cs="Arial"/>
                <w:color w:val="000000"/>
                <w:sz w:val="22"/>
                <w:szCs w:val="22"/>
              </w:rPr>
              <w:t>039.7</w:t>
            </w:r>
          </w:p>
        </w:tc>
      </w:tr>
      <w:tr w:rsidR="00CA6A90" w:rsidTr="005E455D">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E455D" w:rsidRPr="00523316" w:rsidRDefault="005E455D" w:rsidP="005E455D">
            <w:pPr>
              <w:rPr>
                <w:rFonts w:cs="Arial"/>
                <w:color w:val="000000"/>
                <w:sz w:val="22"/>
                <w:szCs w:val="22"/>
              </w:rPr>
            </w:pPr>
            <w:r w:rsidRPr="00523316">
              <w:rPr>
                <w:rFonts w:cs="Arial"/>
                <w:color w:val="000000"/>
                <w:sz w:val="22"/>
                <w:szCs w:val="22"/>
              </w:rPr>
              <w:t>Other long term liabilities (PFI schemes)</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200</w:t>
            </w:r>
            <w:r w:rsidR="00481E87">
              <w:rPr>
                <w:rFonts w:cs="Arial"/>
                <w:color w:val="000000"/>
                <w:sz w:val="22"/>
                <w:szCs w:val="22"/>
              </w:rPr>
              <w:t>.0</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162.4</w:t>
            </w:r>
          </w:p>
        </w:tc>
      </w:tr>
      <w:tr w:rsidR="00CA6A90" w:rsidTr="005E455D">
        <w:trPr>
          <w:trHeight w:val="300"/>
        </w:trPr>
        <w:tc>
          <w:tcPr>
            <w:tcW w:w="4720" w:type="dxa"/>
            <w:tcBorders>
              <w:top w:val="nil"/>
              <w:left w:val="single" w:sz="4" w:space="0" w:color="auto"/>
              <w:bottom w:val="single" w:sz="4" w:space="0" w:color="auto"/>
              <w:right w:val="single" w:sz="4" w:space="0" w:color="auto"/>
            </w:tcBorders>
            <w:shd w:val="clear" w:color="000000" w:fill="D9E1F2"/>
            <w:vAlign w:val="bottom"/>
            <w:hideMark/>
          </w:tcPr>
          <w:p w:rsidR="005E455D" w:rsidRPr="00523316" w:rsidRDefault="005E455D" w:rsidP="005E455D">
            <w:pPr>
              <w:rPr>
                <w:rFonts w:cs="Arial"/>
                <w:color w:val="000000"/>
                <w:sz w:val="22"/>
                <w:szCs w:val="22"/>
              </w:rPr>
            </w:pPr>
            <w:r w:rsidRPr="00523316">
              <w:rPr>
                <w:rFonts w:cs="Arial"/>
                <w:color w:val="000000"/>
                <w:sz w:val="22"/>
                <w:szCs w:val="22"/>
              </w:rPr>
              <w:t>TOTAL</w:t>
            </w:r>
          </w:p>
        </w:tc>
        <w:tc>
          <w:tcPr>
            <w:tcW w:w="1510" w:type="dxa"/>
            <w:tcBorders>
              <w:top w:val="nil"/>
              <w:left w:val="nil"/>
              <w:bottom w:val="single" w:sz="4" w:space="0" w:color="auto"/>
              <w:right w:val="single" w:sz="4" w:space="0" w:color="auto"/>
            </w:tcBorders>
            <w:shd w:val="clear" w:color="000000" w:fill="D9E1F2"/>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1,300.0</w:t>
            </w:r>
          </w:p>
        </w:tc>
        <w:tc>
          <w:tcPr>
            <w:tcW w:w="1510" w:type="dxa"/>
            <w:tcBorders>
              <w:top w:val="nil"/>
              <w:left w:val="nil"/>
              <w:bottom w:val="single" w:sz="4" w:space="0" w:color="auto"/>
              <w:right w:val="single" w:sz="4" w:space="0" w:color="auto"/>
            </w:tcBorders>
            <w:shd w:val="clear" w:color="000000" w:fill="D9E1F2"/>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1,202.1</w:t>
            </w:r>
          </w:p>
        </w:tc>
      </w:tr>
      <w:tr w:rsidR="00CA6A90" w:rsidTr="005E455D">
        <w:trPr>
          <w:trHeight w:val="300"/>
        </w:trPr>
        <w:tc>
          <w:tcPr>
            <w:tcW w:w="4720" w:type="dxa"/>
            <w:tcBorders>
              <w:top w:val="nil"/>
              <w:left w:val="nil"/>
              <w:bottom w:val="nil"/>
              <w:right w:val="nil"/>
            </w:tcBorders>
            <w:shd w:val="clear" w:color="auto" w:fill="auto"/>
            <w:vAlign w:val="bottom"/>
            <w:hideMark/>
          </w:tcPr>
          <w:p w:rsidR="005E455D" w:rsidRDefault="005E455D" w:rsidP="005E455D">
            <w:pPr>
              <w:jc w:val="right"/>
              <w:rPr>
                <w:rFonts w:cs="Arial"/>
                <w:color w:val="000000"/>
                <w:sz w:val="22"/>
                <w:szCs w:val="22"/>
              </w:rPr>
            </w:pPr>
          </w:p>
          <w:p w:rsidR="005E455D" w:rsidRDefault="005E455D" w:rsidP="005E455D">
            <w:pPr>
              <w:jc w:val="right"/>
              <w:rPr>
                <w:rFonts w:cs="Arial"/>
                <w:color w:val="000000"/>
                <w:sz w:val="22"/>
                <w:szCs w:val="22"/>
              </w:rPr>
            </w:pPr>
          </w:p>
          <w:p w:rsidR="005E455D" w:rsidRPr="00523316" w:rsidRDefault="005E455D" w:rsidP="005E455D">
            <w:pPr>
              <w:jc w:val="right"/>
              <w:rPr>
                <w:rFonts w:cs="Arial"/>
                <w:color w:val="000000"/>
                <w:sz w:val="22"/>
                <w:szCs w:val="22"/>
              </w:rPr>
            </w:pPr>
          </w:p>
        </w:tc>
        <w:tc>
          <w:tcPr>
            <w:tcW w:w="1510" w:type="dxa"/>
            <w:tcBorders>
              <w:top w:val="nil"/>
              <w:left w:val="nil"/>
              <w:bottom w:val="nil"/>
              <w:right w:val="nil"/>
            </w:tcBorders>
            <w:shd w:val="clear" w:color="auto" w:fill="auto"/>
            <w:noWrap/>
            <w:vAlign w:val="bottom"/>
            <w:hideMark/>
          </w:tcPr>
          <w:p w:rsidR="005E455D" w:rsidRPr="00523316" w:rsidRDefault="005E455D" w:rsidP="005E455D">
            <w:pPr>
              <w:rPr>
                <w:rFonts w:cs="Arial"/>
                <w:sz w:val="22"/>
                <w:szCs w:val="22"/>
              </w:rPr>
            </w:pPr>
          </w:p>
        </w:tc>
        <w:tc>
          <w:tcPr>
            <w:tcW w:w="1510" w:type="dxa"/>
            <w:tcBorders>
              <w:top w:val="nil"/>
              <w:left w:val="nil"/>
              <w:bottom w:val="nil"/>
              <w:right w:val="nil"/>
            </w:tcBorders>
            <w:shd w:val="clear" w:color="auto" w:fill="auto"/>
            <w:noWrap/>
            <w:vAlign w:val="bottom"/>
            <w:hideMark/>
          </w:tcPr>
          <w:p w:rsidR="005E455D" w:rsidRPr="00523316" w:rsidRDefault="005E455D" w:rsidP="005E455D">
            <w:pPr>
              <w:rPr>
                <w:rFonts w:cs="Arial"/>
                <w:sz w:val="22"/>
                <w:szCs w:val="22"/>
              </w:rPr>
            </w:pPr>
          </w:p>
        </w:tc>
      </w:tr>
      <w:tr w:rsidR="00CA6A90" w:rsidTr="005E455D">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455D" w:rsidRPr="00523316" w:rsidRDefault="005E455D" w:rsidP="005E455D">
            <w:pPr>
              <w:rPr>
                <w:rFonts w:cs="Arial"/>
                <w:b/>
                <w:bCs/>
                <w:color w:val="000000"/>
                <w:sz w:val="22"/>
                <w:szCs w:val="22"/>
              </w:rPr>
            </w:pPr>
            <w:r w:rsidRPr="00523316">
              <w:rPr>
                <w:rFonts w:cs="Arial"/>
                <w:b/>
                <w:bCs/>
                <w:color w:val="000000"/>
                <w:sz w:val="22"/>
                <w:szCs w:val="22"/>
              </w:rPr>
              <w:t>3. Operational boundary for external debt</w:t>
            </w:r>
          </w:p>
        </w:tc>
      </w:tr>
      <w:tr w:rsidR="00CA6A90" w:rsidTr="005E455D">
        <w:trPr>
          <w:trHeight w:val="99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455D" w:rsidRPr="00523316" w:rsidRDefault="005E455D" w:rsidP="005E455D">
            <w:pPr>
              <w:rPr>
                <w:rFonts w:cs="Arial"/>
                <w:color w:val="000000"/>
                <w:sz w:val="22"/>
                <w:szCs w:val="22"/>
              </w:rPr>
            </w:pPr>
            <w:r w:rsidRPr="00523316">
              <w:rPr>
                <w:rFonts w:cs="Arial"/>
                <w:color w:val="000000"/>
                <w:sz w:val="22"/>
                <w:szCs w:val="22"/>
              </w:rPr>
              <w:t xml:space="preserve">The Operational Boundary is a prudent estimate of debt but </w:t>
            </w:r>
            <w:r>
              <w:rPr>
                <w:rFonts w:cs="Arial"/>
                <w:color w:val="000000"/>
                <w:sz w:val="22"/>
                <w:szCs w:val="22"/>
              </w:rPr>
              <w:t xml:space="preserve">has </w:t>
            </w:r>
            <w:r w:rsidRPr="00523316">
              <w:rPr>
                <w:rFonts w:cs="Arial"/>
                <w:color w:val="000000"/>
                <w:sz w:val="22"/>
                <w:szCs w:val="22"/>
              </w:rPr>
              <w:t>no provision for unusual cash movements. It represents the estimated maximum external debt arising as a consequence of the County Council's current plans.</w:t>
            </w:r>
          </w:p>
        </w:tc>
      </w:tr>
      <w:tr w:rsidR="00CA6A90" w:rsidTr="005E455D">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E455D" w:rsidRPr="00523316" w:rsidRDefault="005E455D" w:rsidP="005E455D">
            <w:pPr>
              <w:rPr>
                <w:rFonts w:cs="Arial"/>
                <w:color w:val="000000"/>
                <w:sz w:val="22"/>
                <w:szCs w:val="22"/>
              </w:rPr>
            </w:pPr>
            <w:r w:rsidRPr="00523316">
              <w:rPr>
                <w:rFonts w:cs="Arial"/>
                <w:color w:val="000000"/>
                <w:sz w:val="22"/>
                <w:szCs w:val="22"/>
              </w:rPr>
              <w:t>Borrowing</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1,050.0</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1,039.7</w:t>
            </w:r>
          </w:p>
        </w:tc>
      </w:tr>
      <w:tr w:rsidR="00CA6A90" w:rsidTr="005E455D">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E455D" w:rsidRPr="00523316" w:rsidRDefault="005E455D" w:rsidP="005E455D">
            <w:pPr>
              <w:rPr>
                <w:rFonts w:cs="Arial"/>
                <w:color w:val="000000"/>
                <w:sz w:val="22"/>
                <w:szCs w:val="22"/>
              </w:rPr>
            </w:pPr>
            <w:r w:rsidRPr="00523316">
              <w:rPr>
                <w:rFonts w:cs="Arial"/>
                <w:color w:val="000000"/>
                <w:sz w:val="22"/>
                <w:szCs w:val="22"/>
              </w:rPr>
              <w:t>Other long term liabilities (PFI schemes)</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170</w:t>
            </w:r>
            <w:r w:rsidR="00481E87">
              <w:rPr>
                <w:rFonts w:cs="Arial"/>
                <w:color w:val="000000"/>
                <w:sz w:val="22"/>
                <w:szCs w:val="22"/>
              </w:rPr>
              <w:t>.0</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162.4</w:t>
            </w:r>
          </w:p>
        </w:tc>
      </w:tr>
      <w:tr w:rsidR="00CA6A90" w:rsidTr="005E455D">
        <w:trPr>
          <w:trHeight w:val="300"/>
        </w:trPr>
        <w:tc>
          <w:tcPr>
            <w:tcW w:w="4720" w:type="dxa"/>
            <w:tcBorders>
              <w:top w:val="nil"/>
              <w:left w:val="single" w:sz="4" w:space="0" w:color="auto"/>
              <w:bottom w:val="single" w:sz="4" w:space="0" w:color="auto"/>
              <w:right w:val="single" w:sz="4" w:space="0" w:color="auto"/>
            </w:tcBorders>
            <w:shd w:val="clear" w:color="000000" w:fill="D9E1F2"/>
            <w:vAlign w:val="bottom"/>
            <w:hideMark/>
          </w:tcPr>
          <w:p w:rsidR="005E455D" w:rsidRPr="00523316" w:rsidRDefault="005E455D" w:rsidP="005E455D">
            <w:pPr>
              <w:rPr>
                <w:rFonts w:cs="Arial"/>
                <w:color w:val="000000"/>
                <w:sz w:val="22"/>
                <w:szCs w:val="22"/>
              </w:rPr>
            </w:pPr>
            <w:r w:rsidRPr="00523316">
              <w:rPr>
                <w:rFonts w:cs="Arial"/>
                <w:color w:val="000000"/>
                <w:sz w:val="22"/>
                <w:szCs w:val="22"/>
              </w:rPr>
              <w:t>TOTAL</w:t>
            </w:r>
          </w:p>
        </w:tc>
        <w:tc>
          <w:tcPr>
            <w:tcW w:w="1510" w:type="dxa"/>
            <w:tcBorders>
              <w:top w:val="nil"/>
              <w:left w:val="nil"/>
              <w:bottom w:val="single" w:sz="4" w:space="0" w:color="auto"/>
              <w:right w:val="single" w:sz="4" w:space="0" w:color="auto"/>
            </w:tcBorders>
            <w:shd w:val="clear" w:color="000000" w:fill="D9E1F2"/>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1,220.0</w:t>
            </w:r>
          </w:p>
        </w:tc>
        <w:tc>
          <w:tcPr>
            <w:tcW w:w="1510" w:type="dxa"/>
            <w:tcBorders>
              <w:top w:val="nil"/>
              <w:left w:val="nil"/>
              <w:bottom w:val="single" w:sz="4" w:space="0" w:color="auto"/>
              <w:right w:val="single" w:sz="4" w:space="0" w:color="auto"/>
            </w:tcBorders>
            <w:shd w:val="clear" w:color="000000" w:fill="D9E1F2"/>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1,202.1</w:t>
            </w:r>
          </w:p>
        </w:tc>
      </w:tr>
      <w:tr w:rsidR="00CA6A90" w:rsidTr="005E455D">
        <w:trPr>
          <w:trHeight w:val="300"/>
        </w:trPr>
        <w:tc>
          <w:tcPr>
            <w:tcW w:w="4720" w:type="dxa"/>
            <w:tcBorders>
              <w:top w:val="nil"/>
              <w:left w:val="nil"/>
              <w:bottom w:val="nil"/>
              <w:right w:val="nil"/>
            </w:tcBorders>
            <w:shd w:val="clear" w:color="auto" w:fill="auto"/>
            <w:vAlign w:val="bottom"/>
            <w:hideMark/>
          </w:tcPr>
          <w:p w:rsidR="005E455D" w:rsidRDefault="005E455D" w:rsidP="005E455D">
            <w:pPr>
              <w:jc w:val="right"/>
              <w:rPr>
                <w:rFonts w:cs="Arial"/>
                <w:color w:val="000000"/>
                <w:sz w:val="22"/>
                <w:szCs w:val="22"/>
              </w:rPr>
            </w:pPr>
          </w:p>
          <w:p w:rsidR="005E455D" w:rsidRPr="00523316" w:rsidRDefault="005E455D" w:rsidP="005E455D">
            <w:pPr>
              <w:jc w:val="right"/>
              <w:rPr>
                <w:rFonts w:cs="Arial"/>
                <w:color w:val="000000"/>
                <w:sz w:val="22"/>
                <w:szCs w:val="22"/>
              </w:rPr>
            </w:pPr>
          </w:p>
        </w:tc>
        <w:tc>
          <w:tcPr>
            <w:tcW w:w="1510" w:type="dxa"/>
            <w:tcBorders>
              <w:top w:val="nil"/>
              <w:left w:val="nil"/>
              <w:bottom w:val="nil"/>
              <w:right w:val="nil"/>
            </w:tcBorders>
            <w:shd w:val="clear" w:color="auto" w:fill="auto"/>
            <w:noWrap/>
            <w:vAlign w:val="bottom"/>
            <w:hideMark/>
          </w:tcPr>
          <w:p w:rsidR="005E455D" w:rsidRPr="00523316" w:rsidRDefault="005E455D" w:rsidP="005E455D">
            <w:pPr>
              <w:rPr>
                <w:rFonts w:cs="Arial"/>
                <w:sz w:val="22"/>
                <w:szCs w:val="22"/>
              </w:rPr>
            </w:pPr>
          </w:p>
        </w:tc>
        <w:tc>
          <w:tcPr>
            <w:tcW w:w="1510" w:type="dxa"/>
            <w:tcBorders>
              <w:top w:val="nil"/>
              <w:left w:val="nil"/>
              <w:bottom w:val="nil"/>
              <w:right w:val="nil"/>
            </w:tcBorders>
            <w:shd w:val="clear" w:color="auto" w:fill="auto"/>
            <w:noWrap/>
            <w:vAlign w:val="bottom"/>
            <w:hideMark/>
          </w:tcPr>
          <w:p w:rsidR="005E455D" w:rsidRPr="00523316" w:rsidRDefault="005E455D" w:rsidP="005E455D">
            <w:pPr>
              <w:rPr>
                <w:rFonts w:cs="Arial"/>
                <w:sz w:val="22"/>
                <w:szCs w:val="22"/>
              </w:rPr>
            </w:pPr>
          </w:p>
        </w:tc>
      </w:tr>
      <w:tr w:rsidR="00CA6A90" w:rsidTr="005E455D">
        <w:trPr>
          <w:trHeight w:val="30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455D" w:rsidRPr="00523316" w:rsidRDefault="005E455D" w:rsidP="005E455D">
            <w:pPr>
              <w:rPr>
                <w:rFonts w:cs="Arial"/>
                <w:b/>
                <w:bCs/>
                <w:color w:val="000000"/>
                <w:sz w:val="22"/>
                <w:szCs w:val="22"/>
              </w:rPr>
            </w:pPr>
            <w:r w:rsidRPr="00523316">
              <w:rPr>
                <w:rFonts w:cs="Arial"/>
                <w:b/>
                <w:bCs/>
                <w:color w:val="000000"/>
                <w:sz w:val="22"/>
                <w:szCs w:val="22"/>
              </w:rPr>
              <w:t>4. Capital Financing Requirement to Gross Debt</w:t>
            </w:r>
          </w:p>
        </w:tc>
      </w:tr>
      <w:tr w:rsidR="00CA6A90" w:rsidTr="005E455D">
        <w:trPr>
          <w:trHeight w:val="1560"/>
        </w:trPr>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455D" w:rsidRDefault="005E455D" w:rsidP="005E455D">
            <w:pPr>
              <w:jc w:val="both"/>
              <w:rPr>
                <w:rFonts w:cs="Arial"/>
                <w:color w:val="000000"/>
                <w:sz w:val="22"/>
                <w:szCs w:val="22"/>
              </w:rPr>
            </w:pPr>
            <w:r w:rsidRPr="00523316">
              <w:rPr>
                <w:rFonts w:cs="Arial"/>
                <w:color w:val="000000"/>
                <w:sz w:val="22"/>
                <w:szCs w:val="22"/>
              </w:rPr>
              <w:t>The Capital Financing requirement is the underlying need to borrow for capital purposes. This is the cumulative effect of past borrowing decisions and future plans. This is not the same as the actual borrowing on any one day, as day to day borrowing requirements incorporate the effect of cash flow movements relating to both capital and revenue expenditure and income.</w:t>
            </w:r>
          </w:p>
          <w:p w:rsidR="005E455D" w:rsidRPr="00523316" w:rsidRDefault="005E455D" w:rsidP="005E455D">
            <w:pPr>
              <w:jc w:val="both"/>
              <w:rPr>
                <w:rFonts w:cs="Arial"/>
                <w:color w:val="000000"/>
                <w:sz w:val="22"/>
                <w:szCs w:val="22"/>
              </w:rPr>
            </w:pPr>
          </w:p>
        </w:tc>
      </w:tr>
      <w:tr w:rsidR="00CA6A90" w:rsidTr="005E455D">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E455D" w:rsidRPr="00523316" w:rsidRDefault="005E455D" w:rsidP="005E455D">
            <w:pPr>
              <w:rPr>
                <w:rFonts w:cs="Arial"/>
                <w:color w:val="000000"/>
                <w:sz w:val="22"/>
                <w:szCs w:val="22"/>
              </w:rPr>
            </w:pPr>
            <w:r w:rsidRPr="00523316">
              <w:rPr>
                <w:rFonts w:cs="Arial"/>
                <w:color w:val="000000"/>
                <w:sz w:val="22"/>
                <w:szCs w:val="22"/>
              </w:rPr>
              <w:t xml:space="preserve">Capital Financing Requirement </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1,006.0</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990.1</w:t>
            </w:r>
          </w:p>
        </w:tc>
      </w:tr>
      <w:tr w:rsidR="00CA6A90" w:rsidTr="005E455D">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E455D" w:rsidRPr="00523316" w:rsidRDefault="00481E87" w:rsidP="005E455D">
            <w:pPr>
              <w:rPr>
                <w:rFonts w:cs="Arial"/>
                <w:color w:val="000000"/>
                <w:sz w:val="22"/>
                <w:szCs w:val="22"/>
              </w:rPr>
            </w:pPr>
            <w:r>
              <w:rPr>
                <w:rFonts w:cs="Arial"/>
                <w:color w:val="000000"/>
                <w:sz w:val="22"/>
                <w:szCs w:val="22"/>
              </w:rPr>
              <w:t>G</w:t>
            </w:r>
            <w:r w:rsidR="005E455D" w:rsidRPr="00523316">
              <w:rPr>
                <w:rFonts w:cs="Arial"/>
                <w:color w:val="000000"/>
                <w:sz w:val="22"/>
                <w:szCs w:val="22"/>
              </w:rPr>
              <w:t>ross debt</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1,010.0</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1,033.6</w:t>
            </w:r>
          </w:p>
        </w:tc>
      </w:tr>
      <w:tr w:rsidR="00CA6A90" w:rsidTr="005E455D">
        <w:trPr>
          <w:trHeight w:val="30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5E455D" w:rsidRPr="00523316" w:rsidRDefault="005E455D" w:rsidP="005E455D">
            <w:pPr>
              <w:rPr>
                <w:rFonts w:cs="Arial"/>
                <w:color w:val="000000"/>
                <w:sz w:val="22"/>
                <w:szCs w:val="22"/>
              </w:rPr>
            </w:pPr>
            <w:r w:rsidRPr="00523316">
              <w:rPr>
                <w:rFonts w:cs="Arial"/>
                <w:color w:val="000000"/>
                <w:sz w:val="22"/>
                <w:szCs w:val="22"/>
              </w:rPr>
              <w:t>Debt to Capital Financing Requirements</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1.0</w:t>
            </w:r>
            <w:r w:rsidR="00BB6442">
              <w:rPr>
                <w:rFonts w:cs="Arial"/>
                <w:color w:val="000000"/>
                <w:sz w:val="22"/>
                <w:szCs w:val="22"/>
              </w:rPr>
              <w:t>0</w:t>
            </w:r>
          </w:p>
        </w:tc>
        <w:tc>
          <w:tcPr>
            <w:tcW w:w="151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1.04</w:t>
            </w:r>
          </w:p>
        </w:tc>
      </w:tr>
    </w:tbl>
    <w:p w:rsidR="005E455D" w:rsidRPr="000F6DF0" w:rsidRDefault="005E455D" w:rsidP="005E455D">
      <w:pPr>
        <w:jc w:val="both"/>
        <w:rPr>
          <w:szCs w:val="24"/>
          <w:highlight w:val="yellow"/>
        </w:rPr>
      </w:pPr>
      <w:r>
        <w:rPr>
          <w:szCs w:val="24"/>
          <w:highlight w:val="yellow"/>
        </w:rPr>
        <w:fldChar w:fldCharType="end"/>
      </w:r>
    </w:p>
    <w:tbl>
      <w:tblPr>
        <w:tblW w:w="9255" w:type="dxa"/>
        <w:tblInd w:w="-5" w:type="dxa"/>
        <w:tblLook w:val="04A0" w:firstRow="1" w:lastRow="0" w:firstColumn="1" w:lastColumn="0" w:noHBand="0" w:noVBand="1"/>
      </w:tblPr>
      <w:tblGrid>
        <w:gridCol w:w="9255"/>
      </w:tblGrid>
      <w:tr w:rsidR="00CA6A90" w:rsidTr="005E455D">
        <w:trPr>
          <w:trHeight w:val="297"/>
        </w:trPr>
        <w:tc>
          <w:tcPr>
            <w:tcW w:w="9255" w:type="dxa"/>
            <w:tcBorders>
              <w:top w:val="nil"/>
              <w:left w:val="nil"/>
              <w:bottom w:val="nil"/>
              <w:right w:val="nil"/>
            </w:tcBorders>
            <w:shd w:val="clear" w:color="auto" w:fill="auto"/>
            <w:noWrap/>
            <w:vAlign w:val="center"/>
            <w:hideMark/>
          </w:tcPr>
          <w:p w:rsidR="005E455D" w:rsidRDefault="005E455D" w:rsidP="005E455D">
            <w:pPr>
              <w:jc w:val="both"/>
              <w:rPr>
                <w:rFonts w:cs="Arial"/>
                <w:sz w:val="22"/>
                <w:szCs w:val="22"/>
              </w:rPr>
            </w:pPr>
            <w:r w:rsidRPr="00EA594A">
              <w:rPr>
                <w:rFonts w:cs="Arial"/>
                <w:sz w:val="22"/>
                <w:szCs w:val="22"/>
              </w:rPr>
              <w:t xml:space="preserve">Gross borrowing appears higher than the capital financing requirement because the shared investment scheme is accounted for as borrowing, but it does not form part of the capital financing requirement calculation. Adjustments are also required for Premiums, long term debtor and transferred debt. The adjusted gross debt is slightly above the CFR which represents borrowing in advance for capital and is within the Code. </w:t>
            </w:r>
          </w:p>
          <w:p w:rsidR="005E455D" w:rsidRDefault="005E455D" w:rsidP="005E455D">
            <w:pPr>
              <w:jc w:val="both"/>
              <w:rPr>
                <w:rFonts w:cs="Arial"/>
                <w:sz w:val="22"/>
                <w:szCs w:val="22"/>
              </w:rPr>
            </w:pPr>
          </w:p>
          <w:p w:rsidR="005E455D" w:rsidRDefault="005E455D" w:rsidP="005E455D">
            <w:pPr>
              <w:jc w:val="both"/>
              <w:rPr>
                <w:rFonts w:cs="Arial"/>
                <w:sz w:val="22"/>
                <w:szCs w:val="22"/>
              </w:rPr>
            </w:pPr>
          </w:p>
          <w:p w:rsidR="005E455D" w:rsidRDefault="005E455D" w:rsidP="005E455D">
            <w:pPr>
              <w:jc w:val="both"/>
              <w:rPr>
                <w:rFonts w:cs="Arial"/>
                <w:sz w:val="22"/>
                <w:szCs w:val="22"/>
              </w:rPr>
            </w:pPr>
          </w:p>
          <w:p w:rsidR="005E455D" w:rsidRPr="00EA594A" w:rsidRDefault="005E455D" w:rsidP="005E455D">
            <w:pPr>
              <w:jc w:val="both"/>
              <w:rPr>
                <w:rFonts w:cs="Arial"/>
                <w:sz w:val="22"/>
                <w:szCs w:val="22"/>
              </w:rPr>
            </w:pPr>
          </w:p>
          <w:p w:rsidR="005E455D" w:rsidRPr="00EA594A" w:rsidRDefault="005E455D" w:rsidP="005E455D">
            <w:pPr>
              <w:jc w:val="both"/>
              <w:rPr>
                <w:rFonts w:cs="Arial"/>
                <w:sz w:val="22"/>
                <w:szCs w:val="22"/>
              </w:rPr>
            </w:pPr>
          </w:p>
          <w:tbl>
            <w:tblPr>
              <w:tblW w:w="8600" w:type="dxa"/>
              <w:tblLook w:val="04A0" w:firstRow="1" w:lastRow="0" w:firstColumn="1" w:lastColumn="0" w:noHBand="0" w:noVBand="1"/>
            </w:tblPr>
            <w:tblGrid>
              <w:gridCol w:w="6579"/>
              <w:gridCol w:w="1061"/>
              <w:gridCol w:w="960"/>
            </w:tblGrid>
            <w:tr w:rsidR="00CA6A90" w:rsidTr="005E455D">
              <w:trPr>
                <w:trHeight w:val="300"/>
              </w:trPr>
              <w:tc>
                <w:tcPr>
                  <w:tcW w:w="6680" w:type="dxa"/>
                  <w:tcBorders>
                    <w:top w:val="nil"/>
                    <w:left w:val="nil"/>
                    <w:bottom w:val="nil"/>
                    <w:right w:val="nil"/>
                  </w:tcBorders>
                  <w:shd w:val="clear" w:color="auto" w:fill="auto"/>
                  <w:vAlign w:val="bottom"/>
                  <w:hideMark/>
                </w:tcPr>
                <w:p w:rsidR="005E455D" w:rsidRPr="00523316" w:rsidRDefault="005E455D" w:rsidP="005E455D">
                  <w:pPr>
                    <w:rPr>
                      <w:rFonts w:cs="Arial"/>
                      <w:sz w:val="22"/>
                      <w:szCs w:val="22"/>
                    </w:rPr>
                  </w:pPr>
                </w:p>
              </w:tc>
              <w:tc>
                <w:tcPr>
                  <w:tcW w:w="960" w:type="dxa"/>
                  <w:tcBorders>
                    <w:top w:val="single" w:sz="4" w:space="0" w:color="auto"/>
                    <w:left w:val="single" w:sz="4" w:space="0" w:color="auto"/>
                    <w:bottom w:val="nil"/>
                    <w:right w:val="single" w:sz="4" w:space="0" w:color="auto"/>
                  </w:tcBorders>
                  <w:shd w:val="clear" w:color="000000" w:fill="D9E1F2"/>
                  <w:noWrap/>
                  <w:vAlign w:val="bottom"/>
                  <w:hideMark/>
                </w:tcPr>
                <w:p w:rsidR="005E455D" w:rsidRPr="00523316" w:rsidRDefault="005E455D" w:rsidP="005E455D">
                  <w:pPr>
                    <w:jc w:val="center"/>
                    <w:rPr>
                      <w:rFonts w:cs="Arial"/>
                      <w:b/>
                      <w:bCs/>
                      <w:color w:val="000000"/>
                      <w:sz w:val="20"/>
                    </w:rPr>
                  </w:pPr>
                  <w:r w:rsidRPr="00523316">
                    <w:rPr>
                      <w:rFonts w:cs="Arial"/>
                      <w:b/>
                      <w:bCs/>
                      <w:color w:val="000000"/>
                      <w:sz w:val="20"/>
                    </w:rPr>
                    <w:t>2016/17</w:t>
                  </w:r>
                </w:p>
              </w:tc>
              <w:tc>
                <w:tcPr>
                  <w:tcW w:w="960" w:type="dxa"/>
                  <w:tcBorders>
                    <w:top w:val="single" w:sz="4" w:space="0" w:color="auto"/>
                    <w:left w:val="nil"/>
                    <w:bottom w:val="nil"/>
                    <w:right w:val="single" w:sz="4" w:space="0" w:color="auto"/>
                  </w:tcBorders>
                  <w:shd w:val="clear" w:color="000000" w:fill="D9E1F2"/>
                  <w:noWrap/>
                  <w:vAlign w:val="bottom"/>
                  <w:hideMark/>
                </w:tcPr>
                <w:p w:rsidR="005E455D" w:rsidRPr="00523316" w:rsidRDefault="005E455D" w:rsidP="005E455D">
                  <w:pPr>
                    <w:jc w:val="center"/>
                    <w:rPr>
                      <w:rFonts w:cs="Arial"/>
                      <w:b/>
                      <w:bCs/>
                      <w:color w:val="000000"/>
                      <w:sz w:val="20"/>
                    </w:rPr>
                  </w:pPr>
                  <w:r w:rsidRPr="00523316">
                    <w:rPr>
                      <w:rFonts w:cs="Arial"/>
                      <w:b/>
                      <w:bCs/>
                      <w:color w:val="000000"/>
                      <w:sz w:val="20"/>
                    </w:rPr>
                    <w:t>2016/17</w:t>
                  </w:r>
                </w:p>
              </w:tc>
            </w:tr>
            <w:tr w:rsidR="00CA6A90" w:rsidTr="005E455D">
              <w:trPr>
                <w:trHeight w:val="300"/>
              </w:trPr>
              <w:tc>
                <w:tcPr>
                  <w:tcW w:w="6680" w:type="dxa"/>
                  <w:tcBorders>
                    <w:top w:val="nil"/>
                    <w:left w:val="nil"/>
                    <w:bottom w:val="nil"/>
                    <w:right w:val="nil"/>
                  </w:tcBorders>
                  <w:shd w:val="clear" w:color="auto" w:fill="auto"/>
                  <w:vAlign w:val="bottom"/>
                  <w:hideMark/>
                </w:tcPr>
                <w:p w:rsidR="005E455D" w:rsidRPr="00523316" w:rsidRDefault="005E455D" w:rsidP="005E455D">
                  <w:pPr>
                    <w:rPr>
                      <w:rFonts w:cs="Arial"/>
                      <w:b/>
                      <w:bCs/>
                      <w:color w:val="000000"/>
                      <w:sz w:val="22"/>
                      <w:szCs w:val="22"/>
                    </w:rPr>
                  </w:pPr>
                </w:p>
              </w:tc>
              <w:tc>
                <w:tcPr>
                  <w:tcW w:w="960" w:type="dxa"/>
                  <w:tcBorders>
                    <w:top w:val="nil"/>
                    <w:left w:val="single" w:sz="4" w:space="0" w:color="auto"/>
                    <w:bottom w:val="single" w:sz="4" w:space="0" w:color="auto"/>
                    <w:right w:val="single" w:sz="4" w:space="0" w:color="auto"/>
                  </w:tcBorders>
                  <w:shd w:val="clear" w:color="000000" w:fill="D9E1F2"/>
                  <w:noWrap/>
                  <w:vAlign w:val="bottom"/>
                  <w:hideMark/>
                </w:tcPr>
                <w:p w:rsidR="005E455D" w:rsidRPr="00523316" w:rsidRDefault="005E455D" w:rsidP="005E455D">
                  <w:pPr>
                    <w:jc w:val="center"/>
                    <w:rPr>
                      <w:rFonts w:cs="Arial"/>
                      <w:b/>
                      <w:bCs/>
                      <w:color w:val="000000"/>
                      <w:sz w:val="20"/>
                    </w:rPr>
                  </w:pPr>
                  <w:r>
                    <w:rPr>
                      <w:rFonts w:cs="Arial"/>
                      <w:b/>
                      <w:bCs/>
                      <w:color w:val="000000"/>
                      <w:sz w:val="20"/>
                    </w:rPr>
                    <w:t>Indicator</w:t>
                  </w:r>
                </w:p>
              </w:tc>
              <w:tc>
                <w:tcPr>
                  <w:tcW w:w="960" w:type="dxa"/>
                  <w:tcBorders>
                    <w:top w:val="nil"/>
                    <w:left w:val="nil"/>
                    <w:bottom w:val="single" w:sz="4" w:space="0" w:color="auto"/>
                    <w:right w:val="single" w:sz="4" w:space="0" w:color="auto"/>
                  </w:tcBorders>
                  <w:shd w:val="clear" w:color="000000" w:fill="D9E1F2"/>
                  <w:noWrap/>
                  <w:vAlign w:val="bottom"/>
                  <w:hideMark/>
                </w:tcPr>
                <w:p w:rsidR="005E455D" w:rsidRPr="00523316" w:rsidRDefault="005E455D" w:rsidP="005E455D">
                  <w:pPr>
                    <w:jc w:val="center"/>
                    <w:rPr>
                      <w:rFonts w:cs="Arial"/>
                      <w:b/>
                      <w:bCs/>
                      <w:color w:val="000000"/>
                      <w:sz w:val="20"/>
                    </w:rPr>
                  </w:pPr>
                  <w:r w:rsidRPr="00523316">
                    <w:rPr>
                      <w:rFonts w:cs="Arial"/>
                      <w:b/>
                      <w:bCs/>
                      <w:color w:val="000000"/>
                      <w:sz w:val="20"/>
                    </w:rPr>
                    <w:t>Actual</w:t>
                  </w:r>
                </w:p>
              </w:tc>
            </w:tr>
            <w:tr w:rsidR="00CA6A90" w:rsidTr="005E455D">
              <w:trPr>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E455D" w:rsidRPr="00523316" w:rsidRDefault="005E455D" w:rsidP="005E455D">
                  <w:pPr>
                    <w:rPr>
                      <w:rFonts w:cs="Arial"/>
                      <w:b/>
                      <w:bCs/>
                      <w:color w:val="000000"/>
                      <w:sz w:val="22"/>
                      <w:szCs w:val="22"/>
                    </w:rPr>
                  </w:pPr>
                  <w:r w:rsidRPr="00523316">
                    <w:rPr>
                      <w:rFonts w:cs="Arial"/>
                      <w:b/>
                      <w:bCs/>
                      <w:color w:val="000000"/>
                      <w:sz w:val="22"/>
                      <w:szCs w:val="22"/>
                    </w:rPr>
                    <w:t>5. Council Tax Indicators</w:t>
                  </w:r>
                </w:p>
              </w:tc>
            </w:tr>
            <w:tr w:rsidR="00CA6A90" w:rsidTr="005E455D">
              <w:trPr>
                <w:trHeight w:val="202"/>
              </w:trPr>
              <w:tc>
                <w:tcPr>
                  <w:tcW w:w="6680" w:type="dxa"/>
                  <w:tcBorders>
                    <w:top w:val="nil"/>
                    <w:left w:val="single" w:sz="4" w:space="0" w:color="auto"/>
                    <w:bottom w:val="single" w:sz="4" w:space="0" w:color="auto"/>
                    <w:right w:val="single" w:sz="4" w:space="0" w:color="auto"/>
                  </w:tcBorders>
                  <w:shd w:val="clear" w:color="auto" w:fill="auto"/>
                  <w:vAlign w:val="bottom"/>
                  <w:hideMark/>
                </w:tcPr>
                <w:p w:rsidR="005E455D" w:rsidRPr="00523316" w:rsidRDefault="005E455D" w:rsidP="005E455D">
                  <w:pPr>
                    <w:rPr>
                      <w:rFonts w:cs="Arial"/>
                      <w:color w:val="000000"/>
                      <w:sz w:val="22"/>
                      <w:szCs w:val="22"/>
                    </w:rPr>
                  </w:pPr>
                  <w:r w:rsidRPr="00523316">
                    <w:rPr>
                      <w:rFonts w:cs="Arial"/>
                      <w:color w:val="000000"/>
                      <w:sz w:val="22"/>
                      <w:szCs w:val="22"/>
                    </w:rPr>
                    <w:t>Ratio of financing costs to the net revenue stream</w:t>
                  </w:r>
                </w:p>
              </w:tc>
              <w:tc>
                <w:tcPr>
                  <w:tcW w:w="96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4.64</w:t>
                  </w:r>
                  <w:r>
                    <w:rPr>
                      <w:rFonts w:cs="Arial"/>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5E455D" w:rsidRPr="00523316" w:rsidRDefault="005E455D" w:rsidP="005E455D">
                  <w:pPr>
                    <w:jc w:val="right"/>
                    <w:rPr>
                      <w:rFonts w:cs="Arial"/>
                      <w:color w:val="000000"/>
                      <w:sz w:val="22"/>
                      <w:szCs w:val="22"/>
                    </w:rPr>
                  </w:pPr>
                  <w:r w:rsidRPr="00523316">
                    <w:rPr>
                      <w:rFonts w:cs="Arial"/>
                      <w:color w:val="000000"/>
                      <w:sz w:val="22"/>
                      <w:szCs w:val="22"/>
                    </w:rPr>
                    <w:t>1.28%</w:t>
                  </w:r>
                </w:p>
              </w:tc>
            </w:tr>
          </w:tbl>
          <w:p w:rsidR="005E455D" w:rsidRPr="00EA594A" w:rsidRDefault="005E455D" w:rsidP="005E455D">
            <w:pPr>
              <w:jc w:val="both"/>
              <w:rPr>
                <w:rFonts w:cs="Arial"/>
                <w:b/>
                <w:bCs/>
                <w:color w:val="000000"/>
                <w:sz w:val="22"/>
                <w:szCs w:val="22"/>
                <w:highlight w:val="yellow"/>
              </w:rPr>
            </w:pPr>
          </w:p>
        </w:tc>
      </w:tr>
    </w:tbl>
    <w:p w:rsidR="005E455D" w:rsidRPr="00EA594A" w:rsidRDefault="005E455D" w:rsidP="005E455D">
      <w:pPr>
        <w:jc w:val="both"/>
        <w:rPr>
          <w:rFonts w:cs="Arial"/>
          <w:b/>
          <w:sz w:val="22"/>
          <w:szCs w:val="22"/>
          <w:highlight w:val="yellow"/>
        </w:rPr>
      </w:pPr>
    </w:p>
    <w:p w:rsidR="005E455D" w:rsidRDefault="005E455D" w:rsidP="005E455D">
      <w:pPr>
        <w:jc w:val="both"/>
        <w:rPr>
          <w:szCs w:val="24"/>
        </w:rPr>
      </w:pPr>
      <w:r w:rsidRPr="00B8625A">
        <w:rPr>
          <w:szCs w:val="24"/>
        </w:rPr>
        <w:t>The County Council confirms that it has complied with its Prudential Indicators for 2016/17, which were approved as part of the County Council’s Treasur</w:t>
      </w:r>
      <w:r>
        <w:rPr>
          <w:szCs w:val="24"/>
        </w:rPr>
        <w:t>y Management Strategy</w:t>
      </w:r>
      <w:r w:rsidRPr="00B8625A">
        <w:rPr>
          <w:szCs w:val="24"/>
        </w:rPr>
        <w:t xml:space="preserve">. </w:t>
      </w:r>
    </w:p>
    <w:p w:rsidR="005E455D" w:rsidRPr="00EA594A" w:rsidRDefault="005E455D" w:rsidP="005E455D">
      <w:pPr>
        <w:spacing w:after="120"/>
        <w:jc w:val="both"/>
        <w:rPr>
          <w:rFonts w:cs="Arial"/>
          <w:b/>
          <w:sz w:val="22"/>
          <w:szCs w:val="22"/>
          <w:highlight w:val="yellow"/>
          <w:u w:val="single"/>
        </w:rPr>
      </w:pPr>
    </w:p>
    <w:tbl>
      <w:tblPr>
        <w:tblW w:w="8633" w:type="dxa"/>
        <w:tblLook w:val="04A0" w:firstRow="1" w:lastRow="0" w:firstColumn="1" w:lastColumn="0" w:noHBand="0" w:noVBand="1"/>
      </w:tblPr>
      <w:tblGrid>
        <w:gridCol w:w="6379"/>
        <w:gridCol w:w="1306"/>
        <w:gridCol w:w="976"/>
      </w:tblGrid>
      <w:tr w:rsidR="00CA6A90" w:rsidTr="005E455D">
        <w:trPr>
          <w:trHeight w:val="300"/>
        </w:trPr>
        <w:tc>
          <w:tcPr>
            <w:tcW w:w="6379" w:type="dxa"/>
            <w:tcBorders>
              <w:top w:val="nil"/>
              <w:left w:val="nil"/>
              <w:bottom w:val="nil"/>
              <w:right w:val="nil"/>
            </w:tcBorders>
            <w:shd w:val="clear" w:color="auto" w:fill="auto"/>
            <w:noWrap/>
            <w:vAlign w:val="bottom"/>
            <w:hideMark/>
          </w:tcPr>
          <w:p w:rsidR="005E455D" w:rsidRPr="003B1D47" w:rsidRDefault="005E455D" w:rsidP="005E455D">
            <w:pPr>
              <w:rPr>
                <w:rFonts w:cs="Arial"/>
                <w:b/>
                <w:szCs w:val="24"/>
                <w:u w:val="single"/>
              </w:rPr>
            </w:pPr>
            <w:r w:rsidRPr="00A169C5">
              <w:rPr>
                <w:rFonts w:cs="Arial"/>
                <w:b/>
                <w:szCs w:val="24"/>
                <w:u w:val="single"/>
              </w:rPr>
              <w:t>Treasury Management Indicators</w:t>
            </w:r>
          </w:p>
        </w:tc>
        <w:tc>
          <w:tcPr>
            <w:tcW w:w="127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5E455D" w:rsidRPr="003B1D47" w:rsidRDefault="005E455D" w:rsidP="005E455D">
            <w:pPr>
              <w:jc w:val="center"/>
              <w:rPr>
                <w:rFonts w:cs="Arial"/>
                <w:b/>
                <w:bCs/>
                <w:color w:val="000000"/>
                <w:sz w:val="20"/>
              </w:rPr>
            </w:pPr>
            <w:r w:rsidRPr="003B1D47">
              <w:rPr>
                <w:rFonts w:cs="Arial"/>
                <w:b/>
                <w:bCs/>
                <w:color w:val="000000"/>
                <w:sz w:val="20"/>
              </w:rPr>
              <w:t>Upper Limit</w:t>
            </w:r>
          </w:p>
        </w:tc>
        <w:tc>
          <w:tcPr>
            <w:tcW w:w="976" w:type="dxa"/>
            <w:tcBorders>
              <w:top w:val="single" w:sz="4" w:space="0" w:color="auto"/>
              <w:left w:val="nil"/>
              <w:bottom w:val="single" w:sz="4" w:space="0" w:color="auto"/>
              <w:right w:val="single" w:sz="4" w:space="0" w:color="auto"/>
            </w:tcBorders>
            <w:shd w:val="clear" w:color="000000" w:fill="D9E1F2"/>
            <w:noWrap/>
            <w:vAlign w:val="center"/>
            <w:hideMark/>
          </w:tcPr>
          <w:p w:rsidR="005E455D" w:rsidRPr="003B1D47" w:rsidRDefault="005E455D" w:rsidP="005E455D">
            <w:pPr>
              <w:jc w:val="center"/>
              <w:rPr>
                <w:rFonts w:cs="Arial"/>
                <w:b/>
                <w:bCs/>
                <w:color w:val="000000"/>
                <w:sz w:val="20"/>
              </w:rPr>
            </w:pPr>
            <w:r w:rsidRPr="003B1D47">
              <w:rPr>
                <w:rFonts w:cs="Arial"/>
                <w:b/>
                <w:bCs/>
                <w:color w:val="000000"/>
                <w:sz w:val="20"/>
              </w:rPr>
              <w:t>Actual</w:t>
            </w:r>
          </w:p>
        </w:tc>
      </w:tr>
      <w:tr w:rsidR="00CA6A90" w:rsidTr="005E455D">
        <w:trPr>
          <w:trHeight w:val="300"/>
        </w:trPr>
        <w:tc>
          <w:tcPr>
            <w:tcW w:w="6379" w:type="dxa"/>
            <w:tcBorders>
              <w:top w:val="nil"/>
              <w:left w:val="nil"/>
              <w:bottom w:val="nil"/>
              <w:right w:val="nil"/>
            </w:tcBorders>
            <w:shd w:val="clear" w:color="auto" w:fill="auto"/>
            <w:noWrap/>
            <w:vAlign w:val="center"/>
            <w:hideMark/>
          </w:tcPr>
          <w:p w:rsidR="005E455D" w:rsidRPr="003B1D47" w:rsidRDefault="005E455D" w:rsidP="005E455D">
            <w:pPr>
              <w:ind w:right="-215"/>
              <w:jc w:val="center"/>
              <w:rPr>
                <w:rFonts w:cs="Arial"/>
                <w:b/>
                <w:bCs/>
                <w:color w:val="000000"/>
                <w:sz w:val="20"/>
              </w:rPr>
            </w:pPr>
          </w:p>
        </w:tc>
        <w:tc>
          <w:tcPr>
            <w:tcW w:w="1278" w:type="dxa"/>
            <w:tcBorders>
              <w:top w:val="nil"/>
              <w:left w:val="single" w:sz="4" w:space="0" w:color="auto"/>
              <w:bottom w:val="nil"/>
              <w:right w:val="single" w:sz="4" w:space="0" w:color="auto"/>
            </w:tcBorders>
            <w:shd w:val="clear" w:color="000000" w:fill="D9E1F2"/>
            <w:noWrap/>
            <w:vAlign w:val="center"/>
            <w:hideMark/>
          </w:tcPr>
          <w:p w:rsidR="005E455D" w:rsidRPr="003B1D47" w:rsidRDefault="005E455D" w:rsidP="005E455D">
            <w:pPr>
              <w:jc w:val="center"/>
              <w:rPr>
                <w:rFonts w:cs="Arial"/>
                <w:b/>
                <w:bCs/>
                <w:color w:val="000000"/>
                <w:sz w:val="20"/>
              </w:rPr>
            </w:pPr>
            <w:r w:rsidRPr="003B1D47">
              <w:rPr>
                <w:rFonts w:cs="Arial"/>
                <w:b/>
                <w:bCs/>
                <w:color w:val="000000"/>
                <w:sz w:val="20"/>
              </w:rPr>
              <w:t>£m</w:t>
            </w:r>
          </w:p>
        </w:tc>
        <w:tc>
          <w:tcPr>
            <w:tcW w:w="976" w:type="dxa"/>
            <w:tcBorders>
              <w:top w:val="nil"/>
              <w:left w:val="nil"/>
              <w:bottom w:val="nil"/>
              <w:right w:val="single" w:sz="4" w:space="0" w:color="auto"/>
            </w:tcBorders>
            <w:shd w:val="clear" w:color="000000" w:fill="D9E1F2"/>
            <w:noWrap/>
            <w:vAlign w:val="center"/>
            <w:hideMark/>
          </w:tcPr>
          <w:p w:rsidR="005E455D" w:rsidRPr="003B1D47" w:rsidRDefault="005E455D" w:rsidP="005E455D">
            <w:pPr>
              <w:jc w:val="center"/>
              <w:rPr>
                <w:rFonts w:cs="Arial"/>
                <w:b/>
                <w:bCs/>
                <w:color w:val="000000"/>
                <w:sz w:val="20"/>
              </w:rPr>
            </w:pPr>
            <w:r w:rsidRPr="003B1D47">
              <w:rPr>
                <w:rFonts w:cs="Arial"/>
                <w:b/>
                <w:bCs/>
                <w:color w:val="000000"/>
                <w:sz w:val="20"/>
              </w:rPr>
              <w:t>£m</w:t>
            </w:r>
          </w:p>
        </w:tc>
      </w:tr>
      <w:tr w:rsidR="00CA6A90" w:rsidTr="005E455D">
        <w:trPr>
          <w:trHeight w:val="300"/>
        </w:trPr>
        <w:tc>
          <w:tcPr>
            <w:tcW w:w="86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E455D" w:rsidRPr="003B1D47" w:rsidRDefault="005E455D" w:rsidP="005E455D">
            <w:pPr>
              <w:jc w:val="both"/>
              <w:rPr>
                <w:rFonts w:cs="Arial"/>
                <w:b/>
                <w:bCs/>
                <w:color w:val="000000"/>
                <w:sz w:val="22"/>
                <w:szCs w:val="22"/>
              </w:rPr>
            </w:pPr>
            <w:r w:rsidRPr="003B1D47">
              <w:rPr>
                <w:rFonts w:cs="Arial"/>
                <w:b/>
                <w:bCs/>
                <w:color w:val="000000"/>
                <w:sz w:val="22"/>
                <w:szCs w:val="24"/>
              </w:rPr>
              <w:t>1. Interest Rate exposure</w:t>
            </w:r>
          </w:p>
        </w:tc>
      </w:tr>
      <w:tr w:rsidR="00CA6A90" w:rsidTr="005E455D">
        <w:trPr>
          <w:trHeight w:val="1320"/>
        </w:trPr>
        <w:tc>
          <w:tcPr>
            <w:tcW w:w="86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The limit measures the County Council's exposure to the risk of interest rate movements. The one year impact indicator calculates the theoretical impact on the revenue account of an immediate 1% rise in all interest rates over the course of one financial year.</w:t>
            </w:r>
          </w:p>
        </w:tc>
      </w:tr>
      <w:tr w:rsidR="00CA6A90" w:rsidTr="005E455D">
        <w:trPr>
          <w:trHeigh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Net Interest Payable – Fixed Rate</w:t>
            </w:r>
          </w:p>
        </w:tc>
        <w:tc>
          <w:tcPr>
            <w:tcW w:w="1278"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50.4</w:t>
            </w:r>
          </w:p>
        </w:tc>
        <w:tc>
          <w:tcPr>
            <w:tcW w:w="976"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10.4</w:t>
            </w:r>
          </w:p>
        </w:tc>
      </w:tr>
      <w:tr w:rsidR="00CA6A90" w:rsidTr="005E455D">
        <w:trPr>
          <w:trHeigh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Net Interest Payable – Variable Rate</w:t>
            </w:r>
          </w:p>
        </w:tc>
        <w:tc>
          <w:tcPr>
            <w:tcW w:w="1278"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5</w:t>
            </w:r>
            <w:r w:rsidR="005D4306">
              <w:rPr>
                <w:rFonts w:cs="Arial"/>
                <w:color w:val="000000"/>
                <w:sz w:val="22"/>
                <w:szCs w:val="24"/>
              </w:rPr>
              <w:t>.0</w:t>
            </w:r>
          </w:p>
        </w:tc>
        <w:tc>
          <w:tcPr>
            <w:tcW w:w="976"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2.5</w:t>
            </w:r>
          </w:p>
        </w:tc>
      </w:tr>
      <w:tr w:rsidR="00CA6A90" w:rsidTr="005E455D">
        <w:trPr>
          <w:trHeigh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1 year impact of a 1% rise</w:t>
            </w:r>
          </w:p>
        </w:tc>
        <w:tc>
          <w:tcPr>
            <w:tcW w:w="1278"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10</w:t>
            </w:r>
            <w:r w:rsidR="005D4306">
              <w:rPr>
                <w:rFonts w:cs="Arial"/>
                <w:color w:val="000000"/>
                <w:sz w:val="22"/>
                <w:szCs w:val="24"/>
              </w:rPr>
              <w:t>.0</w:t>
            </w:r>
          </w:p>
        </w:tc>
        <w:tc>
          <w:tcPr>
            <w:tcW w:w="976"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1.3</w:t>
            </w:r>
          </w:p>
        </w:tc>
      </w:tr>
      <w:tr w:rsidR="00CA6A90" w:rsidTr="005E455D">
        <w:trPr>
          <w:trHeight w:val="300"/>
        </w:trPr>
        <w:tc>
          <w:tcPr>
            <w:tcW w:w="6379" w:type="dxa"/>
            <w:tcBorders>
              <w:top w:val="nil"/>
              <w:left w:val="nil"/>
              <w:bottom w:val="nil"/>
              <w:right w:val="nil"/>
            </w:tcBorders>
            <w:shd w:val="clear" w:color="auto" w:fill="auto"/>
            <w:noWrap/>
            <w:vAlign w:val="center"/>
            <w:hideMark/>
          </w:tcPr>
          <w:p w:rsidR="005E455D" w:rsidRPr="003B1D47" w:rsidRDefault="005E455D" w:rsidP="005E455D">
            <w:pPr>
              <w:jc w:val="center"/>
              <w:rPr>
                <w:rFonts w:cs="Arial"/>
                <w:color w:val="000000"/>
                <w:sz w:val="22"/>
                <w:szCs w:val="22"/>
              </w:rPr>
            </w:pPr>
          </w:p>
        </w:tc>
        <w:tc>
          <w:tcPr>
            <w:tcW w:w="1278" w:type="dxa"/>
            <w:tcBorders>
              <w:top w:val="nil"/>
              <w:left w:val="nil"/>
              <w:bottom w:val="nil"/>
              <w:right w:val="nil"/>
            </w:tcBorders>
            <w:shd w:val="clear" w:color="auto" w:fill="auto"/>
            <w:noWrap/>
            <w:vAlign w:val="center"/>
            <w:hideMark/>
          </w:tcPr>
          <w:p w:rsidR="005E455D" w:rsidRPr="003B1D47" w:rsidRDefault="005E455D" w:rsidP="005E455D">
            <w:pPr>
              <w:jc w:val="both"/>
              <w:rPr>
                <w:rFonts w:cs="Arial"/>
                <w:sz w:val="20"/>
              </w:rPr>
            </w:pPr>
          </w:p>
        </w:tc>
        <w:tc>
          <w:tcPr>
            <w:tcW w:w="976" w:type="dxa"/>
            <w:tcBorders>
              <w:top w:val="nil"/>
              <w:left w:val="nil"/>
              <w:bottom w:val="nil"/>
              <w:right w:val="nil"/>
            </w:tcBorders>
            <w:shd w:val="clear" w:color="auto" w:fill="auto"/>
            <w:noWrap/>
            <w:vAlign w:val="center"/>
            <w:hideMark/>
          </w:tcPr>
          <w:p w:rsidR="005E455D" w:rsidRPr="003B1D47" w:rsidRDefault="005E455D" w:rsidP="005E455D">
            <w:pPr>
              <w:jc w:val="both"/>
              <w:rPr>
                <w:rFonts w:cs="Arial"/>
                <w:sz w:val="20"/>
              </w:rPr>
            </w:pPr>
          </w:p>
        </w:tc>
      </w:tr>
      <w:tr w:rsidR="00CA6A90" w:rsidTr="005E455D">
        <w:trPr>
          <w:trHeight w:val="300"/>
        </w:trPr>
        <w:tc>
          <w:tcPr>
            <w:tcW w:w="86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E455D" w:rsidRPr="003B1D47" w:rsidRDefault="005E455D" w:rsidP="005E455D">
            <w:pPr>
              <w:jc w:val="both"/>
              <w:rPr>
                <w:rFonts w:cs="Arial"/>
                <w:b/>
                <w:bCs/>
                <w:color w:val="000000"/>
                <w:sz w:val="22"/>
                <w:szCs w:val="22"/>
              </w:rPr>
            </w:pPr>
            <w:r w:rsidRPr="003B1D47">
              <w:rPr>
                <w:rFonts w:cs="Arial"/>
                <w:b/>
                <w:bCs/>
                <w:color w:val="000000"/>
                <w:sz w:val="22"/>
                <w:szCs w:val="24"/>
              </w:rPr>
              <w:t>2. Maturity structure of debt</w:t>
            </w:r>
          </w:p>
        </w:tc>
      </w:tr>
      <w:tr w:rsidR="00CA6A90" w:rsidTr="005E455D">
        <w:trPr>
          <w:trHeight w:val="300"/>
        </w:trPr>
        <w:tc>
          <w:tcPr>
            <w:tcW w:w="86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The limit on the maturity structure of debt helps control refinancing risk.</w:t>
            </w:r>
          </w:p>
        </w:tc>
      </w:tr>
      <w:tr w:rsidR="00CA6A90" w:rsidTr="005E455D">
        <w:trPr>
          <w:trHeigh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Under 12 months</w:t>
            </w:r>
          </w:p>
        </w:tc>
        <w:tc>
          <w:tcPr>
            <w:tcW w:w="1278"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75</w:t>
            </w:r>
          </w:p>
        </w:tc>
        <w:tc>
          <w:tcPr>
            <w:tcW w:w="976"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44</w:t>
            </w:r>
          </w:p>
        </w:tc>
      </w:tr>
      <w:tr w:rsidR="00CA6A90" w:rsidTr="005E455D">
        <w:trPr>
          <w:trHeigh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12 months and within 2 years</w:t>
            </w:r>
          </w:p>
        </w:tc>
        <w:tc>
          <w:tcPr>
            <w:tcW w:w="1278"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75</w:t>
            </w:r>
          </w:p>
        </w:tc>
        <w:tc>
          <w:tcPr>
            <w:tcW w:w="976"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15</w:t>
            </w:r>
          </w:p>
        </w:tc>
      </w:tr>
      <w:tr w:rsidR="00CA6A90" w:rsidTr="005E455D">
        <w:trPr>
          <w:trHeigh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2 years and within 5 years</w:t>
            </w:r>
          </w:p>
        </w:tc>
        <w:tc>
          <w:tcPr>
            <w:tcW w:w="1278"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75</w:t>
            </w:r>
          </w:p>
        </w:tc>
        <w:tc>
          <w:tcPr>
            <w:tcW w:w="976"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17</w:t>
            </w:r>
          </w:p>
        </w:tc>
      </w:tr>
      <w:tr w:rsidR="00CA6A90" w:rsidTr="005E455D">
        <w:trPr>
          <w:trHeigh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5 years and within 10 years</w:t>
            </w:r>
          </w:p>
        </w:tc>
        <w:tc>
          <w:tcPr>
            <w:tcW w:w="1278"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75</w:t>
            </w:r>
          </w:p>
        </w:tc>
        <w:tc>
          <w:tcPr>
            <w:tcW w:w="976"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5</w:t>
            </w:r>
          </w:p>
        </w:tc>
      </w:tr>
      <w:tr w:rsidR="00CA6A90" w:rsidTr="005E455D">
        <w:trPr>
          <w:trHeigh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10 years and above</w:t>
            </w:r>
          </w:p>
        </w:tc>
        <w:tc>
          <w:tcPr>
            <w:tcW w:w="1278"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100</w:t>
            </w:r>
          </w:p>
        </w:tc>
        <w:tc>
          <w:tcPr>
            <w:tcW w:w="976"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19</w:t>
            </w:r>
          </w:p>
        </w:tc>
      </w:tr>
      <w:tr w:rsidR="00CA6A90" w:rsidTr="005E455D">
        <w:trPr>
          <w:trHeight w:val="300"/>
        </w:trPr>
        <w:tc>
          <w:tcPr>
            <w:tcW w:w="6379" w:type="dxa"/>
            <w:tcBorders>
              <w:top w:val="nil"/>
              <w:left w:val="nil"/>
              <w:bottom w:val="nil"/>
              <w:right w:val="nil"/>
            </w:tcBorders>
            <w:shd w:val="clear" w:color="auto" w:fill="auto"/>
            <w:noWrap/>
            <w:vAlign w:val="center"/>
            <w:hideMark/>
          </w:tcPr>
          <w:p w:rsidR="005E455D" w:rsidRPr="003B1D47" w:rsidRDefault="005E455D" w:rsidP="005E455D">
            <w:pPr>
              <w:jc w:val="center"/>
              <w:rPr>
                <w:rFonts w:cs="Arial"/>
                <w:color w:val="000000"/>
                <w:sz w:val="22"/>
                <w:szCs w:val="22"/>
              </w:rPr>
            </w:pPr>
          </w:p>
        </w:tc>
        <w:tc>
          <w:tcPr>
            <w:tcW w:w="1278" w:type="dxa"/>
            <w:tcBorders>
              <w:top w:val="nil"/>
              <w:left w:val="nil"/>
              <w:bottom w:val="nil"/>
              <w:right w:val="nil"/>
            </w:tcBorders>
            <w:shd w:val="clear" w:color="auto" w:fill="auto"/>
            <w:noWrap/>
            <w:vAlign w:val="center"/>
            <w:hideMark/>
          </w:tcPr>
          <w:p w:rsidR="005E455D" w:rsidRPr="003B1D47" w:rsidRDefault="005E455D" w:rsidP="005E455D">
            <w:pPr>
              <w:rPr>
                <w:rFonts w:cs="Arial"/>
                <w:sz w:val="20"/>
              </w:rPr>
            </w:pPr>
          </w:p>
        </w:tc>
        <w:tc>
          <w:tcPr>
            <w:tcW w:w="976" w:type="dxa"/>
            <w:tcBorders>
              <w:top w:val="nil"/>
              <w:left w:val="nil"/>
              <w:bottom w:val="nil"/>
              <w:right w:val="nil"/>
            </w:tcBorders>
            <w:shd w:val="clear" w:color="auto" w:fill="auto"/>
            <w:noWrap/>
            <w:vAlign w:val="center"/>
            <w:hideMark/>
          </w:tcPr>
          <w:p w:rsidR="005E455D" w:rsidRPr="003B1D47" w:rsidRDefault="005E455D" w:rsidP="005E455D">
            <w:pPr>
              <w:rPr>
                <w:rFonts w:cs="Arial"/>
                <w:sz w:val="20"/>
              </w:rPr>
            </w:pPr>
          </w:p>
        </w:tc>
      </w:tr>
      <w:tr w:rsidR="00CA6A90" w:rsidTr="005E455D">
        <w:trPr>
          <w:trHeight w:val="300"/>
        </w:trPr>
        <w:tc>
          <w:tcPr>
            <w:tcW w:w="86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E455D" w:rsidRPr="003B1D47" w:rsidRDefault="005E455D" w:rsidP="005E455D">
            <w:pPr>
              <w:jc w:val="both"/>
              <w:rPr>
                <w:rFonts w:cs="Arial"/>
                <w:b/>
                <w:bCs/>
                <w:color w:val="000000"/>
                <w:sz w:val="22"/>
                <w:szCs w:val="22"/>
              </w:rPr>
            </w:pPr>
            <w:r w:rsidRPr="003B1D47">
              <w:rPr>
                <w:rFonts w:cs="Arial"/>
                <w:b/>
                <w:bCs/>
                <w:color w:val="000000"/>
                <w:sz w:val="22"/>
                <w:szCs w:val="24"/>
              </w:rPr>
              <w:t>3. Investments over 364 days</w:t>
            </w:r>
          </w:p>
        </w:tc>
      </w:tr>
      <w:tr w:rsidR="00CA6A90" w:rsidTr="005E455D">
        <w:trPr>
          <w:trHeight w:val="900"/>
        </w:trPr>
        <w:tc>
          <w:tcPr>
            <w:tcW w:w="86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The limit on the level of long term investments helps to control liquidity, although the majority of these investments are held in available for sale securities.</w:t>
            </w:r>
          </w:p>
        </w:tc>
      </w:tr>
      <w:tr w:rsidR="00CA6A90" w:rsidTr="005E455D">
        <w:trPr>
          <w:trHeigh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Total invested over 364 days</w:t>
            </w:r>
          </w:p>
        </w:tc>
        <w:tc>
          <w:tcPr>
            <w:tcW w:w="1278"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450</w:t>
            </w:r>
            <w:r w:rsidR="005D4306">
              <w:rPr>
                <w:rFonts w:cs="Arial"/>
                <w:color w:val="000000"/>
                <w:sz w:val="22"/>
                <w:szCs w:val="24"/>
              </w:rPr>
              <w:t>.0</w:t>
            </w:r>
          </w:p>
        </w:tc>
        <w:tc>
          <w:tcPr>
            <w:tcW w:w="976"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399.9</w:t>
            </w:r>
          </w:p>
        </w:tc>
      </w:tr>
      <w:tr w:rsidR="00CA6A90" w:rsidTr="005E455D">
        <w:trPr>
          <w:trHeight w:val="300"/>
        </w:trPr>
        <w:tc>
          <w:tcPr>
            <w:tcW w:w="6379" w:type="dxa"/>
            <w:tcBorders>
              <w:top w:val="nil"/>
              <w:left w:val="nil"/>
              <w:bottom w:val="nil"/>
              <w:right w:val="nil"/>
            </w:tcBorders>
            <w:shd w:val="clear" w:color="auto" w:fill="auto"/>
            <w:noWrap/>
            <w:vAlign w:val="center"/>
            <w:hideMark/>
          </w:tcPr>
          <w:p w:rsidR="005E455D" w:rsidRPr="003B1D47" w:rsidRDefault="005E455D" w:rsidP="005E455D">
            <w:pPr>
              <w:jc w:val="center"/>
              <w:rPr>
                <w:rFonts w:cs="Arial"/>
                <w:color w:val="000000"/>
                <w:sz w:val="22"/>
                <w:szCs w:val="22"/>
              </w:rPr>
            </w:pPr>
          </w:p>
        </w:tc>
        <w:tc>
          <w:tcPr>
            <w:tcW w:w="1278" w:type="dxa"/>
            <w:tcBorders>
              <w:top w:val="nil"/>
              <w:left w:val="nil"/>
              <w:bottom w:val="nil"/>
              <w:right w:val="nil"/>
            </w:tcBorders>
            <w:shd w:val="clear" w:color="auto" w:fill="auto"/>
            <w:noWrap/>
            <w:vAlign w:val="center"/>
            <w:hideMark/>
          </w:tcPr>
          <w:p w:rsidR="005E455D" w:rsidRPr="003B1D47" w:rsidRDefault="005E455D" w:rsidP="005E455D">
            <w:pPr>
              <w:rPr>
                <w:rFonts w:cs="Arial"/>
                <w:sz w:val="20"/>
              </w:rPr>
            </w:pPr>
          </w:p>
        </w:tc>
        <w:tc>
          <w:tcPr>
            <w:tcW w:w="976" w:type="dxa"/>
            <w:tcBorders>
              <w:top w:val="nil"/>
              <w:left w:val="nil"/>
              <w:bottom w:val="nil"/>
              <w:right w:val="nil"/>
            </w:tcBorders>
            <w:shd w:val="clear" w:color="auto" w:fill="auto"/>
            <w:noWrap/>
            <w:vAlign w:val="center"/>
            <w:hideMark/>
          </w:tcPr>
          <w:p w:rsidR="005E455D" w:rsidRPr="003B1D47" w:rsidRDefault="005E455D" w:rsidP="005E455D">
            <w:pPr>
              <w:rPr>
                <w:rFonts w:cs="Arial"/>
                <w:sz w:val="20"/>
              </w:rPr>
            </w:pPr>
          </w:p>
        </w:tc>
      </w:tr>
      <w:tr w:rsidR="00CA6A90" w:rsidTr="005E455D">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55D" w:rsidRPr="003B1D47" w:rsidRDefault="005E455D" w:rsidP="005E455D">
            <w:pPr>
              <w:jc w:val="both"/>
              <w:rPr>
                <w:rFonts w:cs="Arial"/>
                <w:b/>
                <w:bCs/>
                <w:color w:val="000000"/>
                <w:sz w:val="22"/>
                <w:szCs w:val="22"/>
              </w:rPr>
            </w:pPr>
            <w:r w:rsidRPr="003B1D47">
              <w:rPr>
                <w:rFonts w:cs="Arial"/>
                <w:b/>
                <w:bCs/>
                <w:color w:val="000000"/>
                <w:sz w:val="22"/>
                <w:szCs w:val="24"/>
              </w:rPr>
              <w:t>4. Minimum Average Credit Rating</w:t>
            </w:r>
          </w:p>
        </w:tc>
        <w:tc>
          <w:tcPr>
            <w:tcW w:w="1278" w:type="dxa"/>
            <w:tcBorders>
              <w:top w:val="single" w:sz="4" w:space="0" w:color="auto"/>
              <w:left w:val="nil"/>
              <w:bottom w:val="single" w:sz="4" w:space="0" w:color="auto"/>
              <w:right w:val="single" w:sz="4" w:space="0" w:color="auto"/>
            </w:tcBorders>
            <w:shd w:val="clear" w:color="000000" w:fill="D9E1F2"/>
            <w:noWrap/>
            <w:vAlign w:val="center"/>
            <w:hideMark/>
          </w:tcPr>
          <w:p w:rsidR="005E455D" w:rsidRPr="003B1D47" w:rsidRDefault="005E455D" w:rsidP="005E455D">
            <w:pPr>
              <w:jc w:val="center"/>
              <w:rPr>
                <w:rFonts w:cs="Arial"/>
                <w:b/>
                <w:bCs/>
                <w:color w:val="000000"/>
                <w:sz w:val="20"/>
              </w:rPr>
            </w:pPr>
            <w:r w:rsidRPr="003B1D47">
              <w:rPr>
                <w:rFonts w:cs="Arial"/>
                <w:b/>
                <w:bCs/>
                <w:color w:val="000000"/>
                <w:sz w:val="20"/>
              </w:rPr>
              <w:t>Benchmark</w:t>
            </w:r>
          </w:p>
        </w:tc>
        <w:tc>
          <w:tcPr>
            <w:tcW w:w="976" w:type="dxa"/>
            <w:tcBorders>
              <w:top w:val="single" w:sz="4" w:space="0" w:color="auto"/>
              <w:left w:val="nil"/>
              <w:bottom w:val="single" w:sz="4" w:space="0" w:color="auto"/>
              <w:right w:val="single" w:sz="4" w:space="0" w:color="auto"/>
            </w:tcBorders>
            <w:shd w:val="clear" w:color="000000" w:fill="D9E1F2"/>
            <w:noWrap/>
            <w:vAlign w:val="center"/>
            <w:hideMark/>
          </w:tcPr>
          <w:p w:rsidR="005E455D" w:rsidRPr="003B1D47" w:rsidRDefault="005E455D" w:rsidP="005E455D">
            <w:pPr>
              <w:jc w:val="center"/>
              <w:rPr>
                <w:rFonts w:cs="Arial"/>
                <w:b/>
                <w:bCs/>
                <w:color w:val="000000"/>
                <w:sz w:val="20"/>
              </w:rPr>
            </w:pPr>
            <w:r w:rsidRPr="003B1D47">
              <w:rPr>
                <w:rFonts w:cs="Arial"/>
                <w:b/>
                <w:bCs/>
                <w:color w:val="000000"/>
                <w:sz w:val="20"/>
              </w:rPr>
              <w:t>Actual</w:t>
            </w:r>
          </w:p>
        </w:tc>
      </w:tr>
      <w:tr w:rsidR="00CA6A90" w:rsidTr="005E455D">
        <w:trPr>
          <w:trHeight w:val="690"/>
        </w:trPr>
        <w:tc>
          <w:tcPr>
            <w:tcW w:w="86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To control credit risk the County Council requires a very high credit rating from its treasury counterparties.</w:t>
            </w:r>
          </w:p>
        </w:tc>
      </w:tr>
      <w:tr w:rsidR="00CA6A90" w:rsidTr="005E455D">
        <w:trPr>
          <w:trHeigh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5E455D" w:rsidRPr="003B1D47" w:rsidRDefault="005E455D" w:rsidP="005E455D">
            <w:pPr>
              <w:jc w:val="both"/>
              <w:rPr>
                <w:rFonts w:cs="Arial"/>
                <w:color w:val="000000"/>
                <w:sz w:val="22"/>
                <w:szCs w:val="22"/>
              </w:rPr>
            </w:pPr>
            <w:r w:rsidRPr="003B1D47">
              <w:rPr>
                <w:rFonts w:cs="Arial"/>
                <w:color w:val="000000"/>
                <w:sz w:val="22"/>
                <w:szCs w:val="24"/>
              </w:rPr>
              <w:t>Average counterparty credit rating</w:t>
            </w:r>
          </w:p>
        </w:tc>
        <w:tc>
          <w:tcPr>
            <w:tcW w:w="1278"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A+</w:t>
            </w:r>
          </w:p>
        </w:tc>
        <w:tc>
          <w:tcPr>
            <w:tcW w:w="976" w:type="dxa"/>
            <w:tcBorders>
              <w:top w:val="nil"/>
              <w:left w:val="nil"/>
              <w:bottom w:val="single" w:sz="4" w:space="0" w:color="auto"/>
              <w:right w:val="single" w:sz="4" w:space="0" w:color="auto"/>
            </w:tcBorders>
            <w:shd w:val="clear" w:color="auto" w:fill="auto"/>
            <w:noWrap/>
            <w:vAlign w:val="center"/>
            <w:hideMark/>
          </w:tcPr>
          <w:p w:rsidR="005E455D" w:rsidRPr="003B1D47" w:rsidRDefault="005E455D" w:rsidP="005E455D">
            <w:pPr>
              <w:jc w:val="center"/>
              <w:rPr>
                <w:rFonts w:cs="Arial"/>
                <w:color w:val="000000"/>
                <w:sz w:val="22"/>
                <w:szCs w:val="22"/>
              </w:rPr>
            </w:pPr>
            <w:r w:rsidRPr="003B1D47">
              <w:rPr>
                <w:rFonts w:cs="Arial"/>
                <w:color w:val="000000"/>
                <w:sz w:val="22"/>
                <w:szCs w:val="24"/>
              </w:rPr>
              <w:t>AA+</w:t>
            </w:r>
          </w:p>
        </w:tc>
      </w:tr>
    </w:tbl>
    <w:p w:rsidR="005E455D" w:rsidRPr="008E52C2" w:rsidRDefault="005E455D" w:rsidP="005E455D">
      <w:pPr>
        <w:jc w:val="both"/>
        <w:rPr>
          <w:szCs w:val="24"/>
        </w:rPr>
      </w:pPr>
    </w:p>
    <w:sectPr w:rsidR="005E455D" w:rsidRPr="008E52C2" w:rsidSect="005E455D">
      <w:footerReference w:type="default" r:id="rId13"/>
      <w:headerReference w:type="first" r:id="rId14"/>
      <w:footerReference w:type="first" r:id="rId15"/>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5D" w:rsidRDefault="005E455D">
      <w:r>
        <w:separator/>
      </w:r>
    </w:p>
  </w:endnote>
  <w:endnote w:type="continuationSeparator" w:id="0">
    <w:p w:rsidR="005E455D" w:rsidRDefault="005E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T369195o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T3691C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86278"/>
      <w:docPartObj>
        <w:docPartGallery w:val="Page Numbers (Bottom of Page)"/>
        <w:docPartUnique/>
      </w:docPartObj>
    </w:sdtPr>
    <w:sdtEndPr>
      <w:rPr>
        <w:noProof/>
      </w:rPr>
    </w:sdtEndPr>
    <w:sdtContent>
      <w:p w:rsidR="005E455D" w:rsidRDefault="005E455D">
        <w:pPr>
          <w:pStyle w:val="Footer"/>
          <w:jc w:val="center"/>
        </w:pPr>
        <w:r>
          <w:fldChar w:fldCharType="begin"/>
        </w:r>
        <w:r>
          <w:instrText xml:space="preserve"> PAGE   \* MERGEFORMAT </w:instrText>
        </w:r>
        <w:r>
          <w:fldChar w:fldCharType="separate"/>
        </w:r>
        <w:r w:rsidR="001D46DF">
          <w:rPr>
            <w:noProof/>
          </w:rPr>
          <w:t>9</w:t>
        </w:r>
        <w:r>
          <w:rPr>
            <w:noProof/>
          </w:rPr>
          <w:fldChar w:fldCharType="end"/>
        </w:r>
      </w:p>
    </w:sdtContent>
  </w:sdt>
  <w:p w:rsidR="005E455D" w:rsidRDefault="005E455D">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663750"/>
      <w:docPartObj>
        <w:docPartGallery w:val="Page Numbers (Bottom of Page)"/>
        <w:docPartUnique/>
      </w:docPartObj>
    </w:sdtPr>
    <w:sdtEndPr>
      <w:rPr>
        <w:noProof/>
      </w:rPr>
    </w:sdtEndPr>
    <w:sdtContent>
      <w:p w:rsidR="005E455D" w:rsidRDefault="005E455D">
        <w:pPr>
          <w:pStyle w:val="Footer"/>
          <w:jc w:val="center"/>
        </w:pPr>
        <w:r>
          <w:fldChar w:fldCharType="begin"/>
        </w:r>
        <w:r>
          <w:instrText xml:space="preserve"> PAGE   \* MERGEFORMAT </w:instrText>
        </w:r>
        <w:r>
          <w:fldChar w:fldCharType="separate"/>
        </w:r>
        <w:r w:rsidR="001D46DF">
          <w:rPr>
            <w:noProof/>
          </w:rPr>
          <w:t>1</w:t>
        </w:r>
        <w:r>
          <w:rPr>
            <w:noProof/>
          </w:rPr>
          <w:fldChar w:fldCharType="end"/>
        </w:r>
      </w:p>
    </w:sdtContent>
  </w:sdt>
  <w:p w:rsidR="005E455D" w:rsidRDefault="005E455D">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5D" w:rsidRDefault="005E455D">
      <w:r>
        <w:separator/>
      </w:r>
    </w:p>
  </w:footnote>
  <w:footnote w:type="continuationSeparator" w:id="0">
    <w:p w:rsidR="005E455D" w:rsidRDefault="005E4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5D" w:rsidRPr="00962377" w:rsidRDefault="005E455D" w:rsidP="005E455D">
    <w:pPr>
      <w:pStyle w:val="Header"/>
      <w:jc w:val="center"/>
      <w:rPr>
        <w:b/>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8"/>
    <w:lvl w:ilvl="0">
      <w:start w:val="1"/>
      <w:numFmt w:val="decimal"/>
      <w:lvlText w:val="%1."/>
      <w:lvlJc w:val="left"/>
      <w:pPr>
        <w:tabs>
          <w:tab w:val="num" w:pos="720"/>
        </w:tabs>
        <w:ind w:left="720" w:hanging="720"/>
      </w:pPr>
      <w:rPr>
        <w:rFonts w:ascii="Verdana" w:hAnsi="Verdana" w:cs="Times New Roman"/>
        <w:sz w:val="20"/>
        <w:szCs w:val="20"/>
      </w:rPr>
    </w:lvl>
  </w:abstractNum>
  <w:abstractNum w:abstractNumId="1" w15:restartNumberingAfterBreak="0">
    <w:nsid w:val="000B4694"/>
    <w:multiLevelType w:val="hybridMultilevel"/>
    <w:tmpl w:val="BB2CF7BC"/>
    <w:lvl w:ilvl="0" w:tplc="09660C56">
      <w:start w:val="4"/>
      <w:numFmt w:val="decimal"/>
      <w:lvlText w:val="%1."/>
      <w:lvlJc w:val="left"/>
      <w:pPr>
        <w:ind w:left="720" w:hanging="360"/>
      </w:pPr>
      <w:rPr>
        <w:rFonts w:cs="Times New Roman" w:hint="default"/>
      </w:rPr>
    </w:lvl>
    <w:lvl w:ilvl="1" w:tplc="A0D6B786" w:tentative="1">
      <w:start w:val="1"/>
      <w:numFmt w:val="lowerLetter"/>
      <w:lvlText w:val="%2."/>
      <w:lvlJc w:val="left"/>
      <w:pPr>
        <w:ind w:left="1440" w:hanging="360"/>
      </w:pPr>
      <w:rPr>
        <w:rFonts w:cs="Times New Roman"/>
      </w:rPr>
    </w:lvl>
    <w:lvl w:ilvl="2" w:tplc="222EAD0C" w:tentative="1">
      <w:start w:val="1"/>
      <w:numFmt w:val="lowerRoman"/>
      <w:lvlText w:val="%3."/>
      <w:lvlJc w:val="right"/>
      <w:pPr>
        <w:ind w:left="2160" w:hanging="180"/>
      </w:pPr>
      <w:rPr>
        <w:rFonts w:cs="Times New Roman"/>
      </w:rPr>
    </w:lvl>
    <w:lvl w:ilvl="3" w:tplc="15166E10" w:tentative="1">
      <w:start w:val="1"/>
      <w:numFmt w:val="decimal"/>
      <w:lvlText w:val="%4."/>
      <w:lvlJc w:val="left"/>
      <w:pPr>
        <w:ind w:left="2880" w:hanging="360"/>
      </w:pPr>
      <w:rPr>
        <w:rFonts w:cs="Times New Roman"/>
      </w:rPr>
    </w:lvl>
    <w:lvl w:ilvl="4" w:tplc="B71C432A" w:tentative="1">
      <w:start w:val="1"/>
      <w:numFmt w:val="lowerLetter"/>
      <w:lvlText w:val="%5."/>
      <w:lvlJc w:val="left"/>
      <w:pPr>
        <w:ind w:left="3600" w:hanging="360"/>
      </w:pPr>
      <w:rPr>
        <w:rFonts w:cs="Times New Roman"/>
      </w:rPr>
    </w:lvl>
    <w:lvl w:ilvl="5" w:tplc="37A4E956" w:tentative="1">
      <w:start w:val="1"/>
      <w:numFmt w:val="lowerRoman"/>
      <w:lvlText w:val="%6."/>
      <w:lvlJc w:val="right"/>
      <w:pPr>
        <w:ind w:left="4320" w:hanging="180"/>
      </w:pPr>
      <w:rPr>
        <w:rFonts w:cs="Times New Roman"/>
      </w:rPr>
    </w:lvl>
    <w:lvl w:ilvl="6" w:tplc="353250E0" w:tentative="1">
      <w:start w:val="1"/>
      <w:numFmt w:val="decimal"/>
      <w:lvlText w:val="%7."/>
      <w:lvlJc w:val="left"/>
      <w:pPr>
        <w:ind w:left="5040" w:hanging="360"/>
      </w:pPr>
      <w:rPr>
        <w:rFonts w:cs="Times New Roman"/>
      </w:rPr>
    </w:lvl>
    <w:lvl w:ilvl="7" w:tplc="0FE8994A" w:tentative="1">
      <w:start w:val="1"/>
      <w:numFmt w:val="lowerLetter"/>
      <w:lvlText w:val="%8."/>
      <w:lvlJc w:val="left"/>
      <w:pPr>
        <w:ind w:left="5760" w:hanging="360"/>
      </w:pPr>
      <w:rPr>
        <w:rFonts w:cs="Times New Roman"/>
      </w:rPr>
    </w:lvl>
    <w:lvl w:ilvl="8" w:tplc="12C68C60" w:tentative="1">
      <w:start w:val="1"/>
      <w:numFmt w:val="lowerRoman"/>
      <w:lvlText w:val="%9."/>
      <w:lvlJc w:val="right"/>
      <w:pPr>
        <w:ind w:left="6480" w:hanging="180"/>
      </w:pPr>
      <w:rPr>
        <w:rFonts w:cs="Times New Roman"/>
      </w:rPr>
    </w:lvl>
  </w:abstractNum>
  <w:abstractNum w:abstractNumId="2" w15:restartNumberingAfterBreak="0">
    <w:nsid w:val="04BA048B"/>
    <w:multiLevelType w:val="hybridMultilevel"/>
    <w:tmpl w:val="9470F8A4"/>
    <w:lvl w:ilvl="0" w:tplc="B7DC2CA4">
      <w:start w:val="3"/>
      <w:numFmt w:val="bullet"/>
      <w:lvlText w:val="-"/>
      <w:lvlJc w:val="left"/>
      <w:pPr>
        <w:ind w:left="720" w:hanging="360"/>
      </w:pPr>
      <w:rPr>
        <w:rFonts w:ascii="TT369195o00" w:eastAsia="Times New Roman" w:hAnsi="TT369195o00" w:hint="default"/>
      </w:rPr>
    </w:lvl>
    <w:lvl w:ilvl="1" w:tplc="F9609C6A" w:tentative="1">
      <w:start w:val="1"/>
      <w:numFmt w:val="bullet"/>
      <w:lvlText w:val="o"/>
      <w:lvlJc w:val="left"/>
      <w:pPr>
        <w:ind w:left="1440" w:hanging="360"/>
      </w:pPr>
      <w:rPr>
        <w:rFonts w:ascii="Courier New" w:hAnsi="Courier New" w:hint="default"/>
      </w:rPr>
    </w:lvl>
    <w:lvl w:ilvl="2" w:tplc="2DE89842" w:tentative="1">
      <w:start w:val="1"/>
      <w:numFmt w:val="bullet"/>
      <w:lvlText w:val=""/>
      <w:lvlJc w:val="left"/>
      <w:pPr>
        <w:ind w:left="2160" w:hanging="360"/>
      </w:pPr>
      <w:rPr>
        <w:rFonts w:ascii="Wingdings" w:hAnsi="Wingdings" w:hint="default"/>
      </w:rPr>
    </w:lvl>
    <w:lvl w:ilvl="3" w:tplc="7FFECF6C" w:tentative="1">
      <w:start w:val="1"/>
      <w:numFmt w:val="bullet"/>
      <w:lvlText w:val=""/>
      <w:lvlJc w:val="left"/>
      <w:pPr>
        <w:ind w:left="2880" w:hanging="360"/>
      </w:pPr>
      <w:rPr>
        <w:rFonts w:ascii="Symbol" w:hAnsi="Symbol" w:hint="default"/>
      </w:rPr>
    </w:lvl>
    <w:lvl w:ilvl="4" w:tplc="DCD2E6D2" w:tentative="1">
      <w:start w:val="1"/>
      <w:numFmt w:val="bullet"/>
      <w:lvlText w:val="o"/>
      <w:lvlJc w:val="left"/>
      <w:pPr>
        <w:ind w:left="3600" w:hanging="360"/>
      </w:pPr>
      <w:rPr>
        <w:rFonts w:ascii="Courier New" w:hAnsi="Courier New" w:hint="default"/>
      </w:rPr>
    </w:lvl>
    <w:lvl w:ilvl="5" w:tplc="C7E42D6E" w:tentative="1">
      <w:start w:val="1"/>
      <w:numFmt w:val="bullet"/>
      <w:lvlText w:val=""/>
      <w:lvlJc w:val="left"/>
      <w:pPr>
        <w:ind w:left="4320" w:hanging="360"/>
      </w:pPr>
      <w:rPr>
        <w:rFonts w:ascii="Wingdings" w:hAnsi="Wingdings" w:hint="default"/>
      </w:rPr>
    </w:lvl>
    <w:lvl w:ilvl="6" w:tplc="4A8C664C" w:tentative="1">
      <w:start w:val="1"/>
      <w:numFmt w:val="bullet"/>
      <w:lvlText w:val=""/>
      <w:lvlJc w:val="left"/>
      <w:pPr>
        <w:ind w:left="5040" w:hanging="360"/>
      </w:pPr>
      <w:rPr>
        <w:rFonts w:ascii="Symbol" w:hAnsi="Symbol" w:hint="default"/>
      </w:rPr>
    </w:lvl>
    <w:lvl w:ilvl="7" w:tplc="EEAE3816" w:tentative="1">
      <w:start w:val="1"/>
      <w:numFmt w:val="bullet"/>
      <w:lvlText w:val="o"/>
      <w:lvlJc w:val="left"/>
      <w:pPr>
        <w:ind w:left="5760" w:hanging="360"/>
      </w:pPr>
      <w:rPr>
        <w:rFonts w:ascii="Courier New" w:hAnsi="Courier New" w:hint="default"/>
      </w:rPr>
    </w:lvl>
    <w:lvl w:ilvl="8" w:tplc="F35EFD56" w:tentative="1">
      <w:start w:val="1"/>
      <w:numFmt w:val="bullet"/>
      <w:lvlText w:val=""/>
      <w:lvlJc w:val="left"/>
      <w:pPr>
        <w:ind w:left="6480" w:hanging="360"/>
      </w:pPr>
      <w:rPr>
        <w:rFonts w:ascii="Wingdings" w:hAnsi="Wingdings" w:hint="default"/>
      </w:rPr>
    </w:lvl>
  </w:abstractNum>
  <w:abstractNum w:abstractNumId="3" w15:restartNumberingAfterBreak="0">
    <w:nsid w:val="0E197906"/>
    <w:multiLevelType w:val="hybridMultilevel"/>
    <w:tmpl w:val="76FC0DE8"/>
    <w:lvl w:ilvl="0" w:tplc="A7E485B4">
      <w:start w:val="27"/>
      <w:numFmt w:val="bullet"/>
      <w:lvlText w:val=""/>
      <w:lvlJc w:val="left"/>
      <w:pPr>
        <w:ind w:left="720" w:hanging="360"/>
      </w:pPr>
      <w:rPr>
        <w:rFonts w:ascii="Symbol" w:eastAsia="Times New Roman" w:hAnsi="Symbol" w:hint="default"/>
      </w:rPr>
    </w:lvl>
    <w:lvl w:ilvl="1" w:tplc="EFB6C3F8" w:tentative="1">
      <w:start w:val="1"/>
      <w:numFmt w:val="bullet"/>
      <w:lvlText w:val="o"/>
      <w:lvlJc w:val="left"/>
      <w:pPr>
        <w:ind w:left="1440" w:hanging="360"/>
      </w:pPr>
      <w:rPr>
        <w:rFonts w:ascii="Courier New" w:hAnsi="Courier New" w:hint="default"/>
      </w:rPr>
    </w:lvl>
    <w:lvl w:ilvl="2" w:tplc="77CC5A58" w:tentative="1">
      <w:start w:val="1"/>
      <w:numFmt w:val="bullet"/>
      <w:lvlText w:val=""/>
      <w:lvlJc w:val="left"/>
      <w:pPr>
        <w:ind w:left="2160" w:hanging="360"/>
      </w:pPr>
      <w:rPr>
        <w:rFonts w:ascii="Wingdings" w:hAnsi="Wingdings" w:hint="default"/>
      </w:rPr>
    </w:lvl>
    <w:lvl w:ilvl="3" w:tplc="7018CA24" w:tentative="1">
      <w:start w:val="1"/>
      <w:numFmt w:val="bullet"/>
      <w:lvlText w:val=""/>
      <w:lvlJc w:val="left"/>
      <w:pPr>
        <w:ind w:left="2880" w:hanging="360"/>
      </w:pPr>
      <w:rPr>
        <w:rFonts w:ascii="Symbol" w:hAnsi="Symbol" w:hint="default"/>
      </w:rPr>
    </w:lvl>
    <w:lvl w:ilvl="4" w:tplc="7A2A01CE" w:tentative="1">
      <w:start w:val="1"/>
      <w:numFmt w:val="bullet"/>
      <w:lvlText w:val="o"/>
      <w:lvlJc w:val="left"/>
      <w:pPr>
        <w:ind w:left="3600" w:hanging="360"/>
      </w:pPr>
      <w:rPr>
        <w:rFonts w:ascii="Courier New" w:hAnsi="Courier New" w:hint="default"/>
      </w:rPr>
    </w:lvl>
    <w:lvl w:ilvl="5" w:tplc="8C669C64" w:tentative="1">
      <w:start w:val="1"/>
      <w:numFmt w:val="bullet"/>
      <w:lvlText w:val=""/>
      <w:lvlJc w:val="left"/>
      <w:pPr>
        <w:ind w:left="4320" w:hanging="360"/>
      </w:pPr>
      <w:rPr>
        <w:rFonts w:ascii="Wingdings" w:hAnsi="Wingdings" w:hint="default"/>
      </w:rPr>
    </w:lvl>
    <w:lvl w:ilvl="6" w:tplc="3A6CCFBA" w:tentative="1">
      <w:start w:val="1"/>
      <w:numFmt w:val="bullet"/>
      <w:lvlText w:val=""/>
      <w:lvlJc w:val="left"/>
      <w:pPr>
        <w:ind w:left="5040" w:hanging="360"/>
      </w:pPr>
      <w:rPr>
        <w:rFonts w:ascii="Symbol" w:hAnsi="Symbol" w:hint="default"/>
      </w:rPr>
    </w:lvl>
    <w:lvl w:ilvl="7" w:tplc="C798C2CC" w:tentative="1">
      <w:start w:val="1"/>
      <w:numFmt w:val="bullet"/>
      <w:lvlText w:val="o"/>
      <w:lvlJc w:val="left"/>
      <w:pPr>
        <w:ind w:left="5760" w:hanging="360"/>
      </w:pPr>
      <w:rPr>
        <w:rFonts w:ascii="Courier New" w:hAnsi="Courier New" w:hint="default"/>
      </w:rPr>
    </w:lvl>
    <w:lvl w:ilvl="8" w:tplc="C59812F0" w:tentative="1">
      <w:start w:val="1"/>
      <w:numFmt w:val="bullet"/>
      <w:lvlText w:val=""/>
      <w:lvlJc w:val="left"/>
      <w:pPr>
        <w:ind w:left="6480" w:hanging="360"/>
      </w:pPr>
      <w:rPr>
        <w:rFonts w:ascii="Wingdings" w:hAnsi="Wingdings" w:hint="default"/>
      </w:rPr>
    </w:lvl>
  </w:abstractNum>
  <w:abstractNum w:abstractNumId="4" w15:restartNumberingAfterBreak="0">
    <w:nsid w:val="0EC83881"/>
    <w:multiLevelType w:val="hybridMultilevel"/>
    <w:tmpl w:val="02EC95CA"/>
    <w:lvl w:ilvl="0" w:tplc="D7ACA406">
      <w:start w:val="1"/>
      <w:numFmt w:val="decimal"/>
      <w:lvlText w:val="%1."/>
      <w:lvlJc w:val="left"/>
      <w:pPr>
        <w:ind w:left="1080" w:hanging="360"/>
      </w:pPr>
      <w:rPr>
        <w:rFonts w:cs="Times New Roman" w:hint="default"/>
        <w:sz w:val="24"/>
      </w:rPr>
    </w:lvl>
    <w:lvl w:ilvl="1" w:tplc="10CC9DFE" w:tentative="1">
      <w:start w:val="1"/>
      <w:numFmt w:val="lowerLetter"/>
      <w:lvlText w:val="%2."/>
      <w:lvlJc w:val="left"/>
      <w:pPr>
        <w:ind w:left="1800" w:hanging="360"/>
      </w:pPr>
      <w:rPr>
        <w:rFonts w:cs="Times New Roman"/>
      </w:rPr>
    </w:lvl>
    <w:lvl w:ilvl="2" w:tplc="C540C5E2" w:tentative="1">
      <w:start w:val="1"/>
      <w:numFmt w:val="lowerRoman"/>
      <w:lvlText w:val="%3."/>
      <w:lvlJc w:val="right"/>
      <w:pPr>
        <w:ind w:left="2520" w:hanging="180"/>
      </w:pPr>
      <w:rPr>
        <w:rFonts w:cs="Times New Roman"/>
      </w:rPr>
    </w:lvl>
    <w:lvl w:ilvl="3" w:tplc="02865164" w:tentative="1">
      <w:start w:val="1"/>
      <w:numFmt w:val="decimal"/>
      <w:lvlText w:val="%4."/>
      <w:lvlJc w:val="left"/>
      <w:pPr>
        <w:ind w:left="3240" w:hanging="360"/>
      </w:pPr>
      <w:rPr>
        <w:rFonts w:cs="Times New Roman"/>
      </w:rPr>
    </w:lvl>
    <w:lvl w:ilvl="4" w:tplc="BC3A7E58" w:tentative="1">
      <w:start w:val="1"/>
      <w:numFmt w:val="lowerLetter"/>
      <w:lvlText w:val="%5."/>
      <w:lvlJc w:val="left"/>
      <w:pPr>
        <w:ind w:left="3960" w:hanging="360"/>
      </w:pPr>
      <w:rPr>
        <w:rFonts w:cs="Times New Roman"/>
      </w:rPr>
    </w:lvl>
    <w:lvl w:ilvl="5" w:tplc="87F8C7B4" w:tentative="1">
      <w:start w:val="1"/>
      <w:numFmt w:val="lowerRoman"/>
      <w:lvlText w:val="%6."/>
      <w:lvlJc w:val="right"/>
      <w:pPr>
        <w:ind w:left="4680" w:hanging="180"/>
      </w:pPr>
      <w:rPr>
        <w:rFonts w:cs="Times New Roman"/>
      </w:rPr>
    </w:lvl>
    <w:lvl w:ilvl="6" w:tplc="DC36B89A" w:tentative="1">
      <w:start w:val="1"/>
      <w:numFmt w:val="decimal"/>
      <w:lvlText w:val="%7."/>
      <w:lvlJc w:val="left"/>
      <w:pPr>
        <w:ind w:left="5400" w:hanging="360"/>
      </w:pPr>
      <w:rPr>
        <w:rFonts w:cs="Times New Roman"/>
      </w:rPr>
    </w:lvl>
    <w:lvl w:ilvl="7" w:tplc="8C3A0334" w:tentative="1">
      <w:start w:val="1"/>
      <w:numFmt w:val="lowerLetter"/>
      <w:lvlText w:val="%8."/>
      <w:lvlJc w:val="left"/>
      <w:pPr>
        <w:ind w:left="6120" w:hanging="360"/>
      </w:pPr>
      <w:rPr>
        <w:rFonts w:cs="Times New Roman"/>
      </w:rPr>
    </w:lvl>
    <w:lvl w:ilvl="8" w:tplc="250A5B6A" w:tentative="1">
      <w:start w:val="1"/>
      <w:numFmt w:val="lowerRoman"/>
      <w:lvlText w:val="%9."/>
      <w:lvlJc w:val="right"/>
      <w:pPr>
        <w:ind w:left="6840" w:hanging="180"/>
      </w:pPr>
      <w:rPr>
        <w:rFonts w:cs="Times New Roman"/>
      </w:rPr>
    </w:lvl>
  </w:abstractNum>
  <w:abstractNum w:abstractNumId="5" w15:restartNumberingAfterBreak="0">
    <w:nsid w:val="0FC36579"/>
    <w:multiLevelType w:val="hybridMultilevel"/>
    <w:tmpl w:val="9A9A9F9A"/>
    <w:lvl w:ilvl="0" w:tplc="D79E4A50">
      <w:start w:val="6"/>
      <w:numFmt w:val="decimal"/>
      <w:lvlText w:val="%1"/>
      <w:lvlJc w:val="left"/>
      <w:pPr>
        <w:ind w:left="720" w:hanging="360"/>
      </w:pPr>
      <w:rPr>
        <w:rFonts w:cs="Times New Roman" w:hint="default"/>
      </w:rPr>
    </w:lvl>
    <w:lvl w:ilvl="1" w:tplc="729C4508" w:tentative="1">
      <w:start w:val="1"/>
      <w:numFmt w:val="lowerLetter"/>
      <w:lvlText w:val="%2."/>
      <w:lvlJc w:val="left"/>
      <w:pPr>
        <w:ind w:left="1440" w:hanging="360"/>
      </w:pPr>
      <w:rPr>
        <w:rFonts w:cs="Times New Roman"/>
      </w:rPr>
    </w:lvl>
    <w:lvl w:ilvl="2" w:tplc="D5DCD41A" w:tentative="1">
      <w:start w:val="1"/>
      <w:numFmt w:val="lowerRoman"/>
      <w:lvlText w:val="%3."/>
      <w:lvlJc w:val="right"/>
      <w:pPr>
        <w:ind w:left="2160" w:hanging="180"/>
      </w:pPr>
      <w:rPr>
        <w:rFonts w:cs="Times New Roman"/>
      </w:rPr>
    </w:lvl>
    <w:lvl w:ilvl="3" w:tplc="6EB6A874" w:tentative="1">
      <w:start w:val="1"/>
      <w:numFmt w:val="decimal"/>
      <w:lvlText w:val="%4."/>
      <w:lvlJc w:val="left"/>
      <w:pPr>
        <w:ind w:left="2880" w:hanging="360"/>
      </w:pPr>
      <w:rPr>
        <w:rFonts w:cs="Times New Roman"/>
      </w:rPr>
    </w:lvl>
    <w:lvl w:ilvl="4" w:tplc="E3EA4C7E" w:tentative="1">
      <w:start w:val="1"/>
      <w:numFmt w:val="lowerLetter"/>
      <w:lvlText w:val="%5."/>
      <w:lvlJc w:val="left"/>
      <w:pPr>
        <w:ind w:left="3600" w:hanging="360"/>
      </w:pPr>
      <w:rPr>
        <w:rFonts w:cs="Times New Roman"/>
      </w:rPr>
    </w:lvl>
    <w:lvl w:ilvl="5" w:tplc="E102C2D8" w:tentative="1">
      <w:start w:val="1"/>
      <w:numFmt w:val="lowerRoman"/>
      <w:lvlText w:val="%6."/>
      <w:lvlJc w:val="right"/>
      <w:pPr>
        <w:ind w:left="4320" w:hanging="180"/>
      </w:pPr>
      <w:rPr>
        <w:rFonts w:cs="Times New Roman"/>
      </w:rPr>
    </w:lvl>
    <w:lvl w:ilvl="6" w:tplc="623C1416" w:tentative="1">
      <w:start w:val="1"/>
      <w:numFmt w:val="decimal"/>
      <w:lvlText w:val="%7."/>
      <w:lvlJc w:val="left"/>
      <w:pPr>
        <w:ind w:left="5040" w:hanging="360"/>
      </w:pPr>
      <w:rPr>
        <w:rFonts w:cs="Times New Roman"/>
      </w:rPr>
    </w:lvl>
    <w:lvl w:ilvl="7" w:tplc="E0F23D1E" w:tentative="1">
      <w:start w:val="1"/>
      <w:numFmt w:val="lowerLetter"/>
      <w:lvlText w:val="%8."/>
      <w:lvlJc w:val="left"/>
      <w:pPr>
        <w:ind w:left="5760" w:hanging="360"/>
      </w:pPr>
      <w:rPr>
        <w:rFonts w:cs="Times New Roman"/>
      </w:rPr>
    </w:lvl>
    <w:lvl w:ilvl="8" w:tplc="22183894" w:tentative="1">
      <w:start w:val="1"/>
      <w:numFmt w:val="lowerRoman"/>
      <w:lvlText w:val="%9."/>
      <w:lvlJc w:val="right"/>
      <w:pPr>
        <w:ind w:left="6480" w:hanging="180"/>
      </w:pPr>
      <w:rPr>
        <w:rFonts w:cs="Times New Roman"/>
      </w:rPr>
    </w:lvl>
  </w:abstractNum>
  <w:abstractNum w:abstractNumId="6" w15:restartNumberingAfterBreak="0">
    <w:nsid w:val="13A14B74"/>
    <w:multiLevelType w:val="hybridMultilevel"/>
    <w:tmpl w:val="0090E514"/>
    <w:lvl w:ilvl="0" w:tplc="BFAA854E">
      <w:start w:val="1"/>
      <w:numFmt w:val="bullet"/>
      <w:lvlText w:val=""/>
      <w:lvlJc w:val="left"/>
      <w:pPr>
        <w:ind w:left="502" w:hanging="360"/>
      </w:pPr>
      <w:rPr>
        <w:rFonts w:ascii="Symbol" w:hAnsi="Symbol" w:hint="default"/>
      </w:rPr>
    </w:lvl>
    <w:lvl w:ilvl="1" w:tplc="6F324AA2" w:tentative="1">
      <w:start w:val="1"/>
      <w:numFmt w:val="bullet"/>
      <w:lvlText w:val="o"/>
      <w:lvlJc w:val="left"/>
      <w:pPr>
        <w:ind w:left="1222" w:hanging="360"/>
      </w:pPr>
      <w:rPr>
        <w:rFonts w:ascii="Courier New" w:hAnsi="Courier New" w:hint="default"/>
      </w:rPr>
    </w:lvl>
    <w:lvl w:ilvl="2" w:tplc="7F14A5A8" w:tentative="1">
      <w:start w:val="1"/>
      <w:numFmt w:val="bullet"/>
      <w:lvlText w:val=""/>
      <w:lvlJc w:val="left"/>
      <w:pPr>
        <w:ind w:left="1942" w:hanging="360"/>
      </w:pPr>
      <w:rPr>
        <w:rFonts w:ascii="Wingdings" w:hAnsi="Wingdings" w:hint="default"/>
      </w:rPr>
    </w:lvl>
    <w:lvl w:ilvl="3" w:tplc="A716A7D6" w:tentative="1">
      <w:start w:val="1"/>
      <w:numFmt w:val="bullet"/>
      <w:lvlText w:val=""/>
      <w:lvlJc w:val="left"/>
      <w:pPr>
        <w:ind w:left="2662" w:hanging="360"/>
      </w:pPr>
      <w:rPr>
        <w:rFonts w:ascii="Symbol" w:hAnsi="Symbol" w:hint="default"/>
      </w:rPr>
    </w:lvl>
    <w:lvl w:ilvl="4" w:tplc="64A45C3C" w:tentative="1">
      <w:start w:val="1"/>
      <w:numFmt w:val="bullet"/>
      <w:lvlText w:val="o"/>
      <w:lvlJc w:val="left"/>
      <w:pPr>
        <w:ind w:left="3382" w:hanging="360"/>
      </w:pPr>
      <w:rPr>
        <w:rFonts w:ascii="Courier New" w:hAnsi="Courier New" w:hint="default"/>
      </w:rPr>
    </w:lvl>
    <w:lvl w:ilvl="5" w:tplc="0810C520" w:tentative="1">
      <w:start w:val="1"/>
      <w:numFmt w:val="bullet"/>
      <w:lvlText w:val=""/>
      <w:lvlJc w:val="left"/>
      <w:pPr>
        <w:ind w:left="4102" w:hanging="360"/>
      </w:pPr>
      <w:rPr>
        <w:rFonts w:ascii="Wingdings" w:hAnsi="Wingdings" w:hint="default"/>
      </w:rPr>
    </w:lvl>
    <w:lvl w:ilvl="6" w:tplc="EECEDA38" w:tentative="1">
      <w:start w:val="1"/>
      <w:numFmt w:val="bullet"/>
      <w:lvlText w:val=""/>
      <w:lvlJc w:val="left"/>
      <w:pPr>
        <w:ind w:left="4822" w:hanging="360"/>
      </w:pPr>
      <w:rPr>
        <w:rFonts w:ascii="Symbol" w:hAnsi="Symbol" w:hint="default"/>
      </w:rPr>
    </w:lvl>
    <w:lvl w:ilvl="7" w:tplc="5294932C" w:tentative="1">
      <w:start w:val="1"/>
      <w:numFmt w:val="bullet"/>
      <w:lvlText w:val="o"/>
      <w:lvlJc w:val="left"/>
      <w:pPr>
        <w:ind w:left="5542" w:hanging="360"/>
      </w:pPr>
      <w:rPr>
        <w:rFonts w:ascii="Courier New" w:hAnsi="Courier New" w:hint="default"/>
      </w:rPr>
    </w:lvl>
    <w:lvl w:ilvl="8" w:tplc="6C5ECC5E" w:tentative="1">
      <w:start w:val="1"/>
      <w:numFmt w:val="bullet"/>
      <w:lvlText w:val=""/>
      <w:lvlJc w:val="left"/>
      <w:pPr>
        <w:ind w:left="6262" w:hanging="360"/>
      </w:pPr>
      <w:rPr>
        <w:rFonts w:ascii="Wingdings" w:hAnsi="Wingdings" w:hint="default"/>
      </w:rPr>
    </w:lvl>
  </w:abstractNum>
  <w:abstractNum w:abstractNumId="7" w15:restartNumberingAfterBreak="0">
    <w:nsid w:val="167962E6"/>
    <w:multiLevelType w:val="hybridMultilevel"/>
    <w:tmpl w:val="7D9099BA"/>
    <w:lvl w:ilvl="0" w:tplc="EE48E508">
      <w:start w:val="1"/>
      <w:numFmt w:val="bullet"/>
      <w:lvlText w:val=""/>
      <w:lvlJc w:val="left"/>
      <w:pPr>
        <w:ind w:left="1080" w:hanging="360"/>
      </w:pPr>
      <w:rPr>
        <w:rFonts w:ascii="Symbol" w:hAnsi="Symbol" w:hint="default"/>
      </w:rPr>
    </w:lvl>
    <w:lvl w:ilvl="1" w:tplc="E2ACA3CE" w:tentative="1">
      <w:start w:val="1"/>
      <w:numFmt w:val="bullet"/>
      <w:lvlText w:val="o"/>
      <w:lvlJc w:val="left"/>
      <w:pPr>
        <w:ind w:left="1800" w:hanging="360"/>
      </w:pPr>
      <w:rPr>
        <w:rFonts w:ascii="Courier New" w:hAnsi="Courier New" w:hint="default"/>
      </w:rPr>
    </w:lvl>
    <w:lvl w:ilvl="2" w:tplc="A84AB09A" w:tentative="1">
      <w:start w:val="1"/>
      <w:numFmt w:val="bullet"/>
      <w:lvlText w:val=""/>
      <w:lvlJc w:val="left"/>
      <w:pPr>
        <w:ind w:left="2520" w:hanging="360"/>
      </w:pPr>
      <w:rPr>
        <w:rFonts w:ascii="Wingdings" w:hAnsi="Wingdings" w:hint="default"/>
      </w:rPr>
    </w:lvl>
    <w:lvl w:ilvl="3" w:tplc="7846B266" w:tentative="1">
      <w:start w:val="1"/>
      <w:numFmt w:val="bullet"/>
      <w:lvlText w:val=""/>
      <w:lvlJc w:val="left"/>
      <w:pPr>
        <w:ind w:left="3240" w:hanging="360"/>
      </w:pPr>
      <w:rPr>
        <w:rFonts w:ascii="Symbol" w:hAnsi="Symbol" w:hint="default"/>
      </w:rPr>
    </w:lvl>
    <w:lvl w:ilvl="4" w:tplc="62640780" w:tentative="1">
      <w:start w:val="1"/>
      <w:numFmt w:val="bullet"/>
      <w:lvlText w:val="o"/>
      <w:lvlJc w:val="left"/>
      <w:pPr>
        <w:ind w:left="3960" w:hanging="360"/>
      </w:pPr>
      <w:rPr>
        <w:rFonts w:ascii="Courier New" w:hAnsi="Courier New" w:hint="default"/>
      </w:rPr>
    </w:lvl>
    <w:lvl w:ilvl="5" w:tplc="0DB4ED18" w:tentative="1">
      <w:start w:val="1"/>
      <w:numFmt w:val="bullet"/>
      <w:lvlText w:val=""/>
      <w:lvlJc w:val="left"/>
      <w:pPr>
        <w:ind w:left="4680" w:hanging="360"/>
      </w:pPr>
      <w:rPr>
        <w:rFonts w:ascii="Wingdings" w:hAnsi="Wingdings" w:hint="default"/>
      </w:rPr>
    </w:lvl>
    <w:lvl w:ilvl="6" w:tplc="6E041A8A" w:tentative="1">
      <w:start w:val="1"/>
      <w:numFmt w:val="bullet"/>
      <w:lvlText w:val=""/>
      <w:lvlJc w:val="left"/>
      <w:pPr>
        <w:ind w:left="5400" w:hanging="360"/>
      </w:pPr>
      <w:rPr>
        <w:rFonts w:ascii="Symbol" w:hAnsi="Symbol" w:hint="default"/>
      </w:rPr>
    </w:lvl>
    <w:lvl w:ilvl="7" w:tplc="7EE0DFAC" w:tentative="1">
      <w:start w:val="1"/>
      <w:numFmt w:val="bullet"/>
      <w:lvlText w:val="o"/>
      <w:lvlJc w:val="left"/>
      <w:pPr>
        <w:ind w:left="6120" w:hanging="360"/>
      </w:pPr>
      <w:rPr>
        <w:rFonts w:ascii="Courier New" w:hAnsi="Courier New" w:hint="default"/>
      </w:rPr>
    </w:lvl>
    <w:lvl w:ilvl="8" w:tplc="7382DCB2" w:tentative="1">
      <w:start w:val="1"/>
      <w:numFmt w:val="bullet"/>
      <w:lvlText w:val=""/>
      <w:lvlJc w:val="left"/>
      <w:pPr>
        <w:ind w:left="6840" w:hanging="360"/>
      </w:pPr>
      <w:rPr>
        <w:rFonts w:ascii="Wingdings" w:hAnsi="Wingdings" w:hint="default"/>
      </w:rPr>
    </w:lvl>
  </w:abstractNum>
  <w:abstractNum w:abstractNumId="8" w15:restartNumberingAfterBreak="0">
    <w:nsid w:val="1B0E0C01"/>
    <w:multiLevelType w:val="hybridMultilevel"/>
    <w:tmpl w:val="C3C2686A"/>
    <w:lvl w:ilvl="0" w:tplc="34F06080">
      <w:start w:val="27"/>
      <w:numFmt w:val="bullet"/>
      <w:lvlText w:val=""/>
      <w:lvlJc w:val="left"/>
      <w:pPr>
        <w:ind w:left="720" w:hanging="360"/>
      </w:pPr>
      <w:rPr>
        <w:rFonts w:ascii="Symbol" w:eastAsia="Times New Roman" w:hAnsi="Symbol" w:hint="default"/>
      </w:rPr>
    </w:lvl>
    <w:lvl w:ilvl="1" w:tplc="89FAE00E" w:tentative="1">
      <w:start w:val="1"/>
      <w:numFmt w:val="bullet"/>
      <w:lvlText w:val="o"/>
      <w:lvlJc w:val="left"/>
      <w:pPr>
        <w:ind w:left="1440" w:hanging="360"/>
      </w:pPr>
      <w:rPr>
        <w:rFonts w:ascii="Courier New" w:hAnsi="Courier New" w:hint="default"/>
      </w:rPr>
    </w:lvl>
    <w:lvl w:ilvl="2" w:tplc="091825CC" w:tentative="1">
      <w:start w:val="1"/>
      <w:numFmt w:val="bullet"/>
      <w:lvlText w:val=""/>
      <w:lvlJc w:val="left"/>
      <w:pPr>
        <w:ind w:left="2160" w:hanging="360"/>
      </w:pPr>
      <w:rPr>
        <w:rFonts w:ascii="Wingdings" w:hAnsi="Wingdings" w:hint="default"/>
      </w:rPr>
    </w:lvl>
    <w:lvl w:ilvl="3" w:tplc="8C0E637E" w:tentative="1">
      <w:start w:val="1"/>
      <w:numFmt w:val="bullet"/>
      <w:lvlText w:val=""/>
      <w:lvlJc w:val="left"/>
      <w:pPr>
        <w:ind w:left="2880" w:hanging="360"/>
      </w:pPr>
      <w:rPr>
        <w:rFonts w:ascii="Symbol" w:hAnsi="Symbol" w:hint="default"/>
      </w:rPr>
    </w:lvl>
    <w:lvl w:ilvl="4" w:tplc="5CE2C228" w:tentative="1">
      <w:start w:val="1"/>
      <w:numFmt w:val="bullet"/>
      <w:lvlText w:val="o"/>
      <w:lvlJc w:val="left"/>
      <w:pPr>
        <w:ind w:left="3600" w:hanging="360"/>
      </w:pPr>
      <w:rPr>
        <w:rFonts w:ascii="Courier New" w:hAnsi="Courier New" w:hint="default"/>
      </w:rPr>
    </w:lvl>
    <w:lvl w:ilvl="5" w:tplc="F6D016DC" w:tentative="1">
      <w:start w:val="1"/>
      <w:numFmt w:val="bullet"/>
      <w:lvlText w:val=""/>
      <w:lvlJc w:val="left"/>
      <w:pPr>
        <w:ind w:left="4320" w:hanging="360"/>
      </w:pPr>
      <w:rPr>
        <w:rFonts w:ascii="Wingdings" w:hAnsi="Wingdings" w:hint="default"/>
      </w:rPr>
    </w:lvl>
    <w:lvl w:ilvl="6" w:tplc="69D22ACA" w:tentative="1">
      <w:start w:val="1"/>
      <w:numFmt w:val="bullet"/>
      <w:lvlText w:val=""/>
      <w:lvlJc w:val="left"/>
      <w:pPr>
        <w:ind w:left="5040" w:hanging="360"/>
      </w:pPr>
      <w:rPr>
        <w:rFonts w:ascii="Symbol" w:hAnsi="Symbol" w:hint="default"/>
      </w:rPr>
    </w:lvl>
    <w:lvl w:ilvl="7" w:tplc="D27C7952" w:tentative="1">
      <w:start w:val="1"/>
      <w:numFmt w:val="bullet"/>
      <w:lvlText w:val="o"/>
      <w:lvlJc w:val="left"/>
      <w:pPr>
        <w:ind w:left="5760" w:hanging="360"/>
      </w:pPr>
      <w:rPr>
        <w:rFonts w:ascii="Courier New" w:hAnsi="Courier New" w:hint="default"/>
      </w:rPr>
    </w:lvl>
    <w:lvl w:ilvl="8" w:tplc="B8B4543C" w:tentative="1">
      <w:start w:val="1"/>
      <w:numFmt w:val="bullet"/>
      <w:lvlText w:val=""/>
      <w:lvlJc w:val="left"/>
      <w:pPr>
        <w:ind w:left="6480" w:hanging="360"/>
      </w:pPr>
      <w:rPr>
        <w:rFonts w:ascii="Wingdings" w:hAnsi="Wingdings" w:hint="default"/>
      </w:rPr>
    </w:lvl>
  </w:abstractNum>
  <w:abstractNum w:abstractNumId="9" w15:restartNumberingAfterBreak="0">
    <w:nsid w:val="1C884339"/>
    <w:multiLevelType w:val="hybridMultilevel"/>
    <w:tmpl w:val="4C20D44E"/>
    <w:lvl w:ilvl="0" w:tplc="0CC0A712">
      <w:numFmt w:val="bullet"/>
      <w:lvlText w:val="·"/>
      <w:lvlJc w:val="left"/>
      <w:pPr>
        <w:ind w:left="1080" w:hanging="360"/>
      </w:pPr>
      <w:rPr>
        <w:rFonts w:ascii="Arial" w:eastAsia="Times New Roman" w:hAnsi="Arial" w:hint="default"/>
      </w:rPr>
    </w:lvl>
    <w:lvl w:ilvl="1" w:tplc="CAF23DEA" w:tentative="1">
      <w:start w:val="1"/>
      <w:numFmt w:val="bullet"/>
      <w:lvlText w:val="o"/>
      <w:lvlJc w:val="left"/>
      <w:pPr>
        <w:ind w:left="1800" w:hanging="360"/>
      </w:pPr>
      <w:rPr>
        <w:rFonts w:ascii="Courier New" w:hAnsi="Courier New" w:hint="default"/>
      </w:rPr>
    </w:lvl>
    <w:lvl w:ilvl="2" w:tplc="CD4A2B34" w:tentative="1">
      <w:start w:val="1"/>
      <w:numFmt w:val="bullet"/>
      <w:lvlText w:val=""/>
      <w:lvlJc w:val="left"/>
      <w:pPr>
        <w:ind w:left="2520" w:hanging="360"/>
      </w:pPr>
      <w:rPr>
        <w:rFonts w:ascii="Wingdings" w:hAnsi="Wingdings" w:hint="default"/>
      </w:rPr>
    </w:lvl>
    <w:lvl w:ilvl="3" w:tplc="B44C56C2" w:tentative="1">
      <w:start w:val="1"/>
      <w:numFmt w:val="bullet"/>
      <w:lvlText w:val=""/>
      <w:lvlJc w:val="left"/>
      <w:pPr>
        <w:ind w:left="3240" w:hanging="360"/>
      </w:pPr>
      <w:rPr>
        <w:rFonts w:ascii="Symbol" w:hAnsi="Symbol" w:hint="default"/>
      </w:rPr>
    </w:lvl>
    <w:lvl w:ilvl="4" w:tplc="A32E9116" w:tentative="1">
      <w:start w:val="1"/>
      <w:numFmt w:val="bullet"/>
      <w:lvlText w:val="o"/>
      <w:lvlJc w:val="left"/>
      <w:pPr>
        <w:ind w:left="3960" w:hanging="360"/>
      </w:pPr>
      <w:rPr>
        <w:rFonts w:ascii="Courier New" w:hAnsi="Courier New" w:hint="default"/>
      </w:rPr>
    </w:lvl>
    <w:lvl w:ilvl="5" w:tplc="64743ED2" w:tentative="1">
      <w:start w:val="1"/>
      <w:numFmt w:val="bullet"/>
      <w:lvlText w:val=""/>
      <w:lvlJc w:val="left"/>
      <w:pPr>
        <w:ind w:left="4680" w:hanging="360"/>
      </w:pPr>
      <w:rPr>
        <w:rFonts w:ascii="Wingdings" w:hAnsi="Wingdings" w:hint="default"/>
      </w:rPr>
    </w:lvl>
    <w:lvl w:ilvl="6" w:tplc="4DE0E84A" w:tentative="1">
      <w:start w:val="1"/>
      <w:numFmt w:val="bullet"/>
      <w:lvlText w:val=""/>
      <w:lvlJc w:val="left"/>
      <w:pPr>
        <w:ind w:left="5400" w:hanging="360"/>
      </w:pPr>
      <w:rPr>
        <w:rFonts w:ascii="Symbol" w:hAnsi="Symbol" w:hint="default"/>
      </w:rPr>
    </w:lvl>
    <w:lvl w:ilvl="7" w:tplc="000ADE94" w:tentative="1">
      <w:start w:val="1"/>
      <w:numFmt w:val="bullet"/>
      <w:lvlText w:val="o"/>
      <w:lvlJc w:val="left"/>
      <w:pPr>
        <w:ind w:left="6120" w:hanging="360"/>
      </w:pPr>
      <w:rPr>
        <w:rFonts w:ascii="Courier New" w:hAnsi="Courier New" w:hint="default"/>
      </w:rPr>
    </w:lvl>
    <w:lvl w:ilvl="8" w:tplc="5706FA4C" w:tentative="1">
      <w:start w:val="1"/>
      <w:numFmt w:val="bullet"/>
      <w:lvlText w:val=""/>
      <w:lvlJc w:val="left"/>
      <w:pPr>
        <w:ind w:left="6840" w:hanging="360"/>
      </w:pPr>
      <w:rPr>
        <w:rFonts w:ascii="Wingdings" w:hAnsi="Wingdings" w:hint="default"/>
      </w:rPr>
    </w:lvl>
  </w:abstractNum>
  <w:abstractNum w:abstractNumId="10" w15:restartNumberingAfterBreak="0">
    <w:nsid w:val="1CF65178"/>
    <w:multiLevelType w:val="hybridMultilevel"/>
    <w:tmpl w:val="5FA6D0BA"/>
    <w:lvl w:ilvl="0" w:tplc="1C44BC76">
      <w:start w:val="1"/>
      <w:numFmt w:val="bullet"/>
      <w:lvlText w:val=""/>
      <w:lvlJc w:val="left"/>
      <w:pPr>
        <w:ind w:left="720" w:hanging="360"/>
      </w:pPr>
      <w:rPr>
        <w:rFonts w:ascii="Symbol" w:hAnsi="Symbol" w:hint="default"/>
      </w:rPr>
    </w:lvl>
    <w:lvl w:ilvl="1" w:tplc="B1686308" w:tentative="1">
      <w:start w:val="1"/>
      <w:numFmt w:val="bullet"/>
      <w:lvlText w:val="o"/>
      <w:lvlJc w:val="left"/>
      <w:pPr>
        <w:ind w:left="1440" w:hanging="360"/>
      </w:pPr>
      <w:rPr>
        <w:rFonts w:ascii="Courier New" w:hAnsi="Courier New" w:hint="default"/>
      </w:rPr>
    </w:lvl>
    <w:lvl w:ilvl="2" w:tplc="830C0518" w:tentative="1">
      <w:start w:val="1"/>
      <w:numFmt w:val="bullet"/>
      <w:lvlText w:val=""/>
      <w:lvlJc w:val="left"/>
      <w:pPr>
        <w:ind w:left="2160" w:hanging="360"/>
      </w:pPr>
      <w:rPr>
        <w:rFonts w:ascii="Wingdings" w:hAnsi="Wingdings" w:hint="default"/>
      </w:rPr>
    </w:lvl>
    <w:lvl w:ilvl="3" w:tplc="D7A2EA04" w:tentative="1">
      <w:start w:val="1"/>
      <w:numFmt w:val="bullet"/>
      <w:lvlText w:val=""/>
      <w:lvlJc w:val="left"/>
      <w:pPr>
        <w:ind w:left="2880" w:hanging="360"/>
      </w:pPr>
      <w:rPr>
        <w:rFonts w:ascii="Symbol" w:hAnsi="Symbol" w:hint="default"/>
      </w:rPr>
    </w:lvl>
    <w:lvl w:ilvl="4" w:tplc="4EB261A4" w:tentative="1">
      <w:start w:val="1"/>
      <w:numFmt w:val="bullet"/>
      <w:lvlText w:val="o"/>
      <w:lvlJc w:val="left"/>
      <w:pPr>
        <w:ind w:left="3600" w:hanging="360"/>
      </w:pPr>
      <w:rPr>
        <w:rFonts w:ascii="Courier New" w:hAnsi="Courier New" w:hint="default"/>
      </w:rPr>
    </w:lvl>
    <w:lvl w:ilvl="5" w:tplc="2940E654" w:tentative="1">
      <w:start w:val="1"/>
      <w:numFmt w:val="bullet"/>
      <w:lvlText w:val=""/>
      <w:lvlJc w:val="left"/>
      <w:pPr>
        <w:ind w:left="4320" w:hanging="360"/>
      </w:pPr>
      <w:rPr>
        <w:rFonts w:ascii="Wingdings" w:hAnsi="Wingdings" w:hint="default"/>
      </w:rPr>
    </w:lvl>
    <w:lvl w:ilvl="6" w:tplc="E3E0AFE0" w:tentative="1">
      <w:start w:val="1"/>
      <w:numFmt w:val="bullet"/>
      <w:lvlText w:val=""/>
      <w:lvlJc w:val="left"/>
      <w:pPr>
        <w:ind w:left="5040" w:hanging="360"/>
      </w:pPr>
      <w:rPr>
        <w:rFonts w:ascii="Symbol" w:hAnsi="Symbol" w:hint="default"/>
      </w:rPr>
    </w:lvl>
    <w:lvl w:ilvl="7" w:tplc="DB0616A2" w:tentative="1">
      <w:start w:val="1"/>
      <w:numFmt w:val="bullet"/>
      <w:lvlText w:val="o"/>
      <w:lvlJc w:val="left"/>
      <w:pPr>
        <w:ind w:left="5760" w:hanging="360"/>
      </w:pPr>
      <w:rPr>
        <w:rFonts w:ascii="Courier New" w:hAnsi="Courier New" w:hint="default"/>
      </w:rPr>
    </w:lvl>
    <w:lvl w:ilvl="8" w:tplc="AE6CF5C6" w:tentative="1">
      <w:start w:val="1"/>
      <w:numFmt w:val="bullet"/>
      <w:lvlText w:val=""/>
      <w:lvlJc w:val="left"/>
      <w:pPr>
        <w:ind w:left="6480" w:hanging="360"/>
      </w:pPr>
      <w:rPr>
        <w:rFonts w:ascii="Wingdings" w:hAnsi="Wingdings" w:hint="default"/>
      </w:rPr>
    </w:lvl>
  </w:abstractNum>
  <w:abstractNum w:abstractNumId="11" w15:restartNumberingAfterBreak="0">
    <w:nsid w:val="2B7603C9"/>
    <w:multiLevelType w:val="hybridMultilevel"/>
    <w:tmpl w:val="E13404D6"/>
    <w:lvl w:ilvl="0" w:tplc="1AEE9F68">
      <w:start w:val="1"/>
      <w:numFmt w:val="decimal"/>
      <w:lvlText w:val="%1."/>
      <w:lvlJc w:val="left"/>
      <w:pPr>
        <w:ind w:left="644" w:hanging="360"/>
      </w:pPr>
      <w:rPr>
        <w:rFonts w:cs="Times New Roman"/>
      </w:rPr>
    </w:lvl>
    <w:lvl w:ilvl="1" w:tplc="061E0C7A" w:tentative="1">
      <w:start w:val="1"/>
      <w:numFmt w:val="lowerLetter"/>
      <w:lvlText w:val="%2."/>
      <w:lvlJc w:val="left"/>
      <w:pPr>
        <w:ind w:left="1364" w:hanging="360"/>
      </w:pPr>
      <w:rPr>
        <w:rFonts w:cs="Times New Roman"/>
      </w:rPr>
    </w:lvl>
    <w:lvl w:ilvl="2" w:tplc="0D62BDF2" w:tentative="1">
      <w:start w:val="1"/>
      <w:numFmt w:val="lowerRoman"/>
      <w:lvlText w:val="%3."/>
      <w:lvlJc w:val="right"/>
      <w:pPr>
        <w:ind w:left="2084" w:hanging="180"/>
      </w:pPr>
      <w:rPr>
        <w:rFonts w:cs="Times New Roman"/>
      </w:rPr>
    </w:lvl>
    <w:lvl w:ilvl="3" w:tplc="7FA41612" w:tentative="1">
      <w:start w:val="1"/>
      <w:numFmt w:val="decimal"/>
      <w:lvlText w:val="%4."/>
      <w:lvlJc w:val="left"/>
      <w:pPr>
        <w:ind w:left="2804" w:hanging="360"/>
      </w:pPr>
      <w:rPr>
        <w:rFonts w:cs="Times New Roman"/>
      </w:rPr>
    </w:lvl>
    <w:lvl w:ilvl="4" w:tplc="15640C0C" w:tentative="1">
      <w:start w:val="1"/>
      <w:numFmt w:val="lowerLetter"/>
      <w:lvlText w:val="%5."/>
      <w:lvlJc w:val="left"/>
      <w:pPr>
        <w:ind w:left="3524" w:hanging="360"/>
      </w:pPr>
      <w:rPr>
        <w:rFonts w:cs="Times New Roman"/>
      </w:rPr>
    </w:lvl>
    <w:lvl w:ilvl="5" w:tplc="66C2C110" w:tentative="1">
      <w:start w:val="1"/>
      <w:numFmt w:val="lowerRoman"/>
      <w:lvlText w:val="%6."/>
      <w:lvlJc w:val="right"/>
      <w:pPr>
        <w:ind w:left="4244" w:hanging="180"/>
      </w:pPr>
      <w:rPr>
        <w:rFonts w:cs="Times New Roman"/>
      </w:rPr>
    </w:lvl>
    <w:lvl w:ilvl="6" w:tplc="0C2E974E" w:tentative="1">
      <w:start w:val="1"/>
      <w:numFmt w:val="decimal"/>
      <w:lvlText w:val="%7."/>
      <w:lvlJc w:val="left"/>
      <w:pPr>
        <w:ind w:left="4964" w:hanging="360"/>
      </w:pPr>
      <w:rPr>
        <w:rFonts w:cs="Times New Roman"/>
      </w:rPr>
    </w:lvl>
    <w:lvl w:ilvl="7" w:tplc="028E5CC6" w:tentative="1">
      <w:start w:val="1"/>
      <w:numFmt w:val="lowerLetter"/>
      <w:lvlText w:val="%8."/>
      <w:lvlJc w:val="left"/>
      <w:pPr>
        <w:ind w:left="5684" w:hanging="360"/>
      </w:pPr>
      <w:rPr>
        <w:rFonts w:cs="Times New Roman"/>
      </w:rPr>
    </w:lvl>
    <w:lvl w:ilvl="8" w:tplc="9968B69A" w:tentative="1">
      <w:start w:val="1"/>
      <w:numFmt w:val="lowerRoman"/>
      <w:lvlText w:val="%9."/>
      <w:lvlJc w:val="right"/>
      <w:pPr>
        <w:ind w:left="6404" w:hanging="180"/>
      </w:pPr>
      <w:rPr>
        <w:rFonts w:cs="Times New Roman"/>
      </w:rPr>
    </w:lvl>
  </w:abstractNum>
  <w:abstractNum w:abstractNumId="12" w15:restartNumberingAfterBreak="0">
    <w:nsid w:val="2E0418DF"/>
    <w:multiLevelType w:val="hybridMultilevel"/>
    <w:tmpl w:val="9EDE53C0"/>
    <w:lvl w:ilvl="0" w:tplc="53F8DC02">
      <w:start w:val="4"/>
      <w:numFmt w:val="decimal"/>
      <w:lvlText w:val="%1"/>
      <w:lvlJc w:val="left"/>
      <w:pPr>
        <w:ind w:left="720" w:hanging="360"/>
      </w:pPr>
      <w:rPr>
        <w:rFonts w:cs="Times New Roman" w:hint="default"/>
      </w:rPr>
    </w:lvl>
    <w:lvl w:ilvl="1" w:tplc="B820348A" w:tentative="1">
      <w:start w:val="1"/>
      <w:numFmt w:val="lowerLetter"/>
      <w:lvlText w:val="%2."/>
      <w:lvlJc w:val="left"/>
      <w:pPr>
        <w:ind w:left="1440" w:hanging="360"/>
      </w:pPr>
      <w:rPr>
        <w:rFonts w:cs="Times New Roman"/>
      </w:rPr>
    </w:lvl>
    <w:lvl w:ilvl="2" w:tplc="176CC8EA" w:tentative="1">
      <w:start w:val="1"/>
      <w:numFmt w:val="lowerRoman"/>
      <w:lvlText w:val="%3."/>
      <w:lvlJc w:val="right"/>
      <w:pPr>
        <w:ind w:left="2160" w:hanging="180"/>
      </w:pPr>
      <w:rPr>
        <w:rFonts w:cs="Times New Roman"/>
      </w:rPr>
    </w:lvl>
    <w:lvl w:ilvl="3" w:tplc="6A56D0E2" w:tentative="1">
      <w:start w:val="1"/>
      <w:numFmt w:val="decimal"/>
      <w:lvlText w:val="%4."/>
      <w:lvlJc w:val="left"/>
      <w:pPr>
        <w:ind w:left="2880" w:hanging="360"/>
      </w:pPr>
      <w:rPr>
        <w:rFonts w:cs="Times New Roman"/>
      </w:rPr>
    </w:lvl>
    <w:lvl w:ilvl="4" w:tplc="E9F4E27A" w:tentative="1">
      <w:start w:val="1"/>
      <w:numFmt w:val="lowerLetter"/>
      <w:lvlText w:val="%5."/>
      <w:lvlJc w:val="left"/>
      <w:pPr>
        <w:ind w:left="3600" w:hanging="360"/>
      </w:pPr>
      <w:rPr>
        <w:rFonts w:cs="Times New Roman"/>
      </w:rPr>
    </w:lvl>
    <w:lvl w:ilvl="5" w:tplc="1584CECA" w:tentative="1">
      <w:start w:val="1"/>
      <w:numFmt w:val="lowerRoman"/>
      <w:lvlText w:val="%6."/>
      <w:lvlJc w:val="right"/>
      <w:pPr>
        <w:ind w:left="4320" w:hanging="180"/>
      </w:pPr>
      <w:rPr>
        <w:rFonts w:cs="Times New Roman"/>
      </w:rPr>
    </w:lvl>
    <w:lvl w:ilvl="6" w:tplc="96B4E50E" w:tentative="1">
      <w:start w:val="1"/>
      <w:numFmt w:val="decimal"/>
      <w:lvlText w:val="%7."/>
      <w:lvlJc w:val="left"/>
      <w:pPr>
        <w:ind w:left="5040" w:hanging="360"/>
      </w:pPr>
      <w:rPr>
        <w:rFonts w:cs="Times New Roman"/>
      </w:rPr>
    </w:lvl>
    <w:lvl w:ilvl="7" w:tplc="D9E4AE14" w:tentative="1">
      <w:start w:val="1"/>
      <w:numFmt w:val="lowerLetter"/>
      <w:lvlText w:val="%8."/>
      <w:lvlJc w:val="left"/>
      <w:pPr>
        <w:ind w:left="5760" w:hanging="360"/>
      </w:pPr>
      <w:rPr>
        <w:rFonts w:cs="Times New Roman"/>
      </w:rPr>
    </w:lvl>
    <w:lvl w:ilvl="8" w:tplc="B0EE1AB2" w:tentative="1">
      <w:start w:val="1"/>
      <w:numFmt w:val="lowerRoman"/>
      <w:lvlText w:val="%9."/>
      <w:lvlJc w:val="right"/>
      <w:pPr>
        <w:ind w:left="6480" w:hanging="180"/>
      </w:pPr>
      <w:rPr>
        <w:rFonts w:cs="Times New Roman"/>
      </w:rPr>
    </w:lvl>
  </w:abstractNum>
  <w:abstractNum w:abstractNumId="13" w15:restartNumberingAfterBreak="0">
    <w:nsid w:val="30724E37"/>
    <w:multiLevelType w:val="hybridMultilevel"/>
    <w:tmpl w:val="A2DC8116"/>
    <w:lvl w:ilvl="0" w:tplc="302C92C4">
      <w:start w:val="6"/>
      <w:numFmt w:val="decimal"/>
      <w:lvlText w:val="%1."/>
      <w:lvlJc w:val="left"/>
      <w:pPr>
        <w:ind w:left="720" w:hanging="360"/>
      </w:pPr>
      <w:rPr>
        <w:rFonts w:hint="default"/>
      </w:rPr>
    </w:lvl>
    <w:lvl w:ilvl="1" w:tplc="D3FE3946" w:tentative="1">
      <w:start w:val="1"/>
      <w:numFmt w:val="lowerLetter"/>
      <w:lvlText w:val="%2."/>
      <w:lvlJc w:val="left"/>
      <w:pPr>
        <w:ind w:left="1440" w:hanging="360"/>
      </w:pPr>
    </w:lvl>
    <w:lvl w:ilvl="2" w:tplc="9230BEBA" w:tentative="1">
      <w:start w:val="1"/>
      <w:numFmt w:val="lowerRoman"/>
      <w:lvlText w:val="%3."/>
      <w:lvlJc w:val="right"/>
      <w:pPr>
        <w:ind w:left="2160" w:hanging="180"/>
      </w:pPr>
    </w:lvl>
    <w:lvl w:ilvl="3" w:tplc="84BA332A" w:tentative="1">
      <w:start w:val="1"/>
      <w:numFmt w:val="decimal"/>
      <w:lvlText w:val="%4."/>
      <w:lvlJc w:val="left"/>
      <w:pPr>
        <w:ind w:left="2880" w:hanging="360"/>
      </w:pPr>
    </w:lvl>
    <w:lvl w:ilvl="4" w:tplc="2C728DB4" w:tentative="1">
      <w:start w:val="1"/>
      <w:numFmt w:val="lowerLetter"/>
      <w:lvlText w:val="%5."/>
      <w:lvlJc w:val="left"/>
      <w:pPr>
        <w:ind w:left="3600" w:hanging="360"/>
      </w:pPr>
    </w:lvl>
    <w:lvl w:ilvl="5" w:tplc="9B3E097C" w:tentative="1">
      <w:start w:val="1"/>
      <w:numFmt w:val="lowerRoman"/>
      <w:lvlText w:val="%6."/>
      <w:lvlJc w:val="right"/>
      <w:pPr>
        <w:ind w:left="4320" w:hanging="180"/>
      </w:pPr>
    </w:lvl>
    <w:lvl w:ilvl="6" w:tplc="5C882D90" w:tentative="1">
      <w:start w:val="1"/>
      <w:numFmt w:val="decimal"/>
      <w:lvlText w:val="%7."/>
      <w:lvlJc w:val="left"/>
      <w:pPr>
        <w:ind w:left="5040" w:hanging="360"/>
      </w:pPr>
    </w:lvl>
    <w:lvl w:ilvl="7" w:tplc="789C6B44" w:tentative="1">
      <w:start w:val="1"/>
      <w:numFmt w:val="lowerLetter"/>
      <w:lvlText w:val="%8."/>
      <w:lvlJc w:val="left"/>
      <w:pPr>
        <w:ind w:left="5760" w:hanging="360"/>
      </w:pPr>
    </w:lvl>
    <w:lvl w:ilvl="8" w:tplc="6DEED5E0" w:tentative="1">
      <w:start w:val="1"/>
      <w:numFmt w:val="lowerRoman"/>
      <w:lvlText w:val="%9."/>
      <w:lvlJc w:val="right"/>
      <w:pPr>
        <w:ind w:left="6480" w:hanging="180"/>
      </w:pPr>
    </w:lvl>
  </w:abstractNum>
  <w:abstractNum w:abstractNumId="14" w15:restartNumberingAfterBreak="0">
    <w:nsid w:val="3A02101D"/>
    <w:multiLevelType w:val="hybridMultilevel"/>
    <w:tmpl w:val="61DE1D66"/>
    <w:lvl w:ilvl="0" w:tplc="DEB6B0AE">
      <w:start w:val="1"/>
      <w:numFmt w:val="decimal"/>
      <w:lvlText w:val="%1."/>
      <w:lvlJc w:val="left"/>
      <w:pPr>
        <w:ind w:left="720" w:hanging="360"/>
      </w:pPr>
      <w:rPr>
        <w:rFonts w:cs="Times New Roman" w:hint="default"/>
      </w:rPr>
    </w:lvl>
    <w:lvl w:ilvl="1" w:tplc="82965C88" w:tentative="1">
      <w:start w:val="1"/>
      <w:numFmt w:val="lowerLetter"/>
      <w:lvlText w:val="%2."/>
      <w:lvlJc w:val="left"/>
      <w:pPr>
        <w:ind w:left="1440" w:hanging="360"/>
      </w:pPr>
      <w:rPr>
        <w:rFonts w:cs="Times New Roman"/>
      </w:rPr>
    </w:lvl>
    <w:lvl w:ilvl="2" w:tplc="5EC62FDA" w:tentative="1">
      <w:start w:val="1"/>
      <w:numFmt w:val="lowerRoman"/>
      <w:lvlText w:val="%3."/>
      <w:lvlJc w:val="right"/>
      <w:pPr>
        <w:ind w:left="2160" w:hanging="180"/>
      </w:pPr>
      <w:rPr>
        <w:rFonts w:cs="Times New Roman"/>
      </w:rPr>
    </w:lvl>
    <w:lvl w:ilvl="3" w:tplc="2560426A" w:tentative="1">
      <w:start w:val="1"/>
      <w:numFmt w:val="decimal"/>
      <w:lvlText w:val="%4."/>
      <w:lvlJc w:val="left"/>
      <w:pPr>
        <w:ind w:left="2880" w:hanging="360"/>
      </w:pPr>
      <w:rPr>
        <w:rFonts w:cs="Times New Roman"/>
      </w:rPr>
    </w:lvl>
    <w:lvl w:ilvl="4" w:tplc="30940B5E" w:tentative="1">
      <w:start w:val="1"/>
      <w:numFmt w:val="lowerLetter"/>
      <w:lvlText w:val="%5."/>
      <w:lvlJc w:val="left"/>
      <w:pPr>
        <w:ind w:left="3600" w:hanging="360"/>
      </w:pPr>
      <w:rPr>
        <w:rFonts w:cs="Times New Roman"/>
      </w:rPr>
    </w:lvl>
    <w:lvl w:ilvl="5" w:tplc="93D82C36" w:tentative="1">
      <w:start w:val="1"/>
      <w:numFmt w:val="lowerRoman"/>
      <w:lvlText w:val="%6."/>
      <w:lvlJc w:val="right"/>
      <w:pPr>
        <w:ind w:left="4320" w:hanging="180"/>
      </w:pPr>
      <w:rPr>
        <w:rFonts w:cs="Times New Roman"/>
      </w:rPr>
    </w:lvl>
    <w:lvl w:ilvl="6" w:tplc="88A233A4" w:tentative="1">
      <w:start w:val="1"/>
      <w:numFmt w:val="decimal"/>
      <w:lvlText w:val="%7."/>
      <w:lvlJc w:val="left"/>
      <w:pPr>
        <w:ind w:left="5040" w:hanging="360"/>
      </w:pPr>
      <w:rPr>
        <w:rFonts w:cs="Times New Roman"/>
      </w:rPr>
    </w:lvl>
    <w:lvl w:ilvl="7" w:tplc="6F8CE91C" w:tentative="1">
      <w:start w:val="1"/>
      <w:numFmt w:val="lowerLetter"/>
      <w:lvlText w:val="%8."/>
      <w:lvlJc w:val="left"/>
      <w:pPr>
        <w:ind w:left="5760" w:hanging="360"/>
      </w:pPr>
      <w:rPr>
        <w:rFonts w:cs="Times New Roman"/>
      </w:rPr>
    </w:lvl>
    <w:lvl w:ilvl="8" w:tplc="8E26AE08" w:tentative="1">
      <w:start w:val="1"/>
      <w:numFmt w:val="lowerRoman"/>
      <w:lvlText w:val="%9."/>
      <w:lvlJc w:val="right"/>
      <w:pPr>
        <w:ind w:left="6480" w:hanging="180"/>
      </w:pPr>
      <w:rPr>
        <w:rFonts w:cs="Times New Roman"/>
      </w:rPr>
    </w:lvl>
  </w:abstractNum>
  <w:abstractNum w:abstractNumId="15" w15:restartNumberingAfterBreak="0">
    <w:nsid w:val="3DDF4CAA"/>
    <w:multiLevelType w:val="hybridMultilevel"/>
    <w:tmpl w:val="A1108C2C"/>
    <w:lvl w:ilvl="0" w:tplc="D390DE52">
      <w:start w:val="5"/>
      <w:numFmt w:val="decimal"/>
      <w:lvlText w:val="%1."/>
      <w:lvlJc w:val="left"/>
      <w:pPr>
        <w:ind w:left="502" w:hanging="360"/>
      </w:pPr>
      <w:rPr>
        <w:rFonts w:cs="Times New Roman" w:hint="default"/>
      </w:rPr>
    </w:lvl>
    <w:lvl w:ilvl="1" w:tplc="7F0EC722" w:tentative="1">
      <w:start w:val="1"/>
      <w:numFmt w:val="lowerLetter"/>
      <w:lvlText w:val="%2."/>
      <w:lvlJc w:val="left"/>
      <w:pPr>
        <w:ind w:left="1222" w:hanging="360"/>
      </w:pPr>
      <w:rPr>
        <w:rFonts w:cs="Times New Roman"/>
      </w:rPr>
    </w:lvl>
    <w:lvl w:ilvl="2" w:tplc="DFD8204C" w:tentative="1">
      <w:start w:val="1"/>
      <w:numFmt w:val="lowerRoman"/>
      <w:lvlText w:val="%3."/>
      <w:lvlJc w:val="right"/>
      <w:pPr>
        <w:ind w:left="1942" w:hanging="180"/>
      </w:pPr>
      <w:rPr>
        <w:rFonts w:cs="Times New Roman"/>
      </w:rPr>
    </w:lvl>
    <w:lvl w:ilvl="3" w:tplc="5BCCF9E8" w:tentative="1">
      <w:start w:val="1"/>
      <w:numFmt w:val="decimal"/>
      <w:lvlText w:val="%4."/>
      <w:lvlJc w:val="left"/>
      <w:pPr>
        <w:ind w:left="2662" w:hanging="360"/>
      </w:pPr>
      <w:rPr>
        <w:rFonts w:cs="Times New Roman"/>
      </w:rPr>
    </w:lvl>
    <w:lvl w:ilvl="4" w:tplc="C1100608" w:tentative="1">
      <w:start w:val="1"/>
      <w:numFmt w:val="lowerLetter"/>
      <w:lvlText w:val="%5."/>
      <w:lvlJc w:val="left"/>
      <w:pPr>
        <w:ind w:left="3382" w:hanging="360"/>
      </w:pPr>
      <w:rPr>
        <w:rFonts w:cs="Times New Roman"/>
      </w:rPr>
    </w:lvl>
    <w:lvl w:ilvl="5" w:tplc="9E78EF8C" w:tentative="1">
      <w:start w:val="1"/>
      <w:numFmt w:val="lowerRoman"/>
      <w:lvlText w:val="%6."/>
      <w:lvlJc w:val="right"/>
      <w:pPr>
        <w:ind w:left="4102" w:hanging="180"/>
      </w:pPr>
      <w:rPr>
        <w:rFonts w:cs="Times New Roman"/>
      </w:rPr>
    </w:lvl>
    <w:lvl w:ilvl="6" w:tplc="4BC42290" w:tentative="1">
      <w:start w:val="1"/>
      <w:numFmt w:val="decimal"/>
      <w:lvlText w:val="%7."/>
      <w:lvlJc w:val="left"/>
      <w:pPr>
        <w:ind w:left="4822" w:hanging="360"/>
      </w:pPr>
      <w:rPr>
        <w:rFonts w:cs="Times New Roman"/>
      </w:rPr>
    </w:lvl>
    <w:lvl w:ilvl="7" w:tplc="360A740C" w:tentative="1">
      <w:start w:val="1"/>
      <w:numFmt w:val="lowerLetter"/>
      <w:lvlText w:val="%8."/>
      <w:lvlJc w:val="left"/>
      <w:pPr>
        <w:ind w:left="5542" w:hanging="360"/>
      </w:pPr>
      <w:rPr>
        <w:rFonts w:cs="Times New Roman"/>
      </w:rPr>
    </w:lvl>
    <w:lvl w:ilvl="8" w:tplc="7FDEF4D0" w:tentative="1">
      <w:start w:val="1"/>
      <w:numFmt w:val="lowerRoman"/>
      <w:lvlText w:val="%9."/>
      <w:lvlJc w:val="right"/>
      <w:pPr>
        <w:ind w:left="6262" w:hanging="180"/>
      </w:pPr>
      <w:rPr>
        <w:rFonts w:cs="Times New Roman"/>
      </w:rPr>
    </w:lvl>
  </w:abstractNum>
  <w:abstractNum w:abstractNumId="16" w15:restartNumberingAfterBreak="0">
    <w:nsid w:val="44146692"/>
    <w:multiLevelType w:val="hybridMultilevel"/>
    <w:tmpl w:val="6BE23300"/>
    <w:lvl w:ilvl="0" w:tplc="0E704944">
      <w:start w:val="1"/>
      <w:numFmt w:val="decimal"/>
      <w:lvlText w:val="%1."/>
      <w:lvlJc w:val="left"/>
      <w:pPr>
        <w:tabs>
          <w:tab w:val="num" w:pos="360"/>
        </w:tabs>
        <w:ind w:left="360" w:hanging="360"/>
      </w:pPr>
      <w:rPr>
        <w:rFonts w:cs="Times New Roman"/>
      </w:rPr>
    </w:lvl>
    <w:lvl w:ilvl="1" w:tplc="36B89A1E" w:tentative="1">
      <w:start w:val="1"/>
      <w:numFmt w:val="lowerLetter"/>
      <w:lvlText w:val="%2."/>
      <w:lvlJc w:val="left"/>
      <w:pPr>
        <w:tabs>
          <w:tab w:val="num" w:pos="1080"/>
        </w:tabs>
        <w:ind w:left="1080" w:hanging="360"/>
      </w:pPr>
      <w:rPr>
        <w:rFonts w:cs="Times New Roman"/>
      </w:rPr>
    </w:lvl>
    <w:lvl w:ilvl="2" w:tplc="E1E21F5E" w:tentative="1">
      <w:start w:val="1"/>
      <w:numFmt w:val="lowerRoman"/>
      <w:lvlText w:val="%3."/>
      <w:lvlJc w:val="right"/>
      <w:pPr>
        <w:tabs>
          <w:tab w:val="num" w:pos="1800"/>
        </w:tabs>
        <w:ind w:left="1800" w:hanging="180"/>
      </w:pPr>
      <w:rPr>
        <w:rFonts w:cs="Times New Roman"/>
      </w:rPr>
    </w:lvl>
    <w:lvl w:ilvl="3" w:tplc="C1521BBE" w:tentative="1">
      <w:start w:val="1"/>
      <w:numFmt w:val="decimal"/>
      <w:lvlText w:val="%4."/>
      <w:lvlJc w:val="left"/>
      <w:pPr>
        <w:tabs>
          <w:tab w:val="num" w:pos="2520"/>
        </w:tabs>
        <w:ind w:left="2520" w:hanging="360"/>
      </w:pPr>
      <w:rPr>
        <w:rFonts w:cs="Times New Roman"/>
      </w:rPr>
    </w:lvl>
    <w:lvl w:ilvl="4" w:tplc="D2E8BEB6" w:tentative="1">
      <w:start w:val="1"/>
      <w:numFmt w:val="lowerLetter"/>
      <w:lvlText w:val="%5."/>
      <w:lvlJc w:val="left"/>
      <w:pPr>
        <w:tabs>
          <w:tab w:val="num" w:pos="3240"/>
        </w:tabs>
        <w:ind w:left="3240" w:hanging="360"/>
      </w:pPr>
      <w:rPr>
        <w:rFonts w:cs="Times New Roman"/>
      </w:rPr>
    </w:lvl>
    <w:lvl w:ilvl="5" w:tplc="EA88F9E6" w:tentative="1">
      <w:start w:val="1"/>
      <w:numFmt w:val="lowerRoman"/>
      <w:lvlText w:val="%6."/>
      <w:lvlJc w:val="right"/>
      <w:pPr>
        <w:tabs>
          <w:tab w:val="num" w:pos="3960"/>
        </w:tabs>
        <w:ind w:left="3960" w:hanging="180"/>
      </w:pPr>
      <w:rPr>
        <w:rFonts w:cs="Times New Roman"/>
      </w:rPr>
    </w:lvl>
    <w:lvl w:ilvl="6" w:tplc="A574C01C" w:tentative="1">
      <w:start w:val="1"/>
      <w:numFmt w:val="decimal"/>
      <w:lvlText w:val="%7."/>
      <w:lvlJc w:val="left"/>
      <w:pPr>
        <w:tabs>
          <w:tab w:val="num" w:pos="4680"/>
        </w:tabs>
        <w:ind w:left="4680" w:hanging="360"/>
      </w:pPr>
      <w:rPr>
        <w:rFonts w:cs="Times New Roman"/>
      </w:rPr>
    </w:lvl>
    <w:lvl w:ilvl="7" w:tplc="895618FA" w:tentative="1">
      <w:start w:val="1"/>
      <w:numFmt w:val="lowerLetter"/>
      <w:lvlText w:val="%8."/>
      <w:lvlJc w:val="left"/>
      <w:pPr>
        <w:tabs>
          <w:tab w:val="num" w:pos="5400"/>
        </w:tabs>
        <w:ind w:left="5400" w:hanging="360"/>
      </w:pPr>
      <w:rPr>
        <w:rFonts w:cs="Times New Roman"/>
      </w:rPr>
    </w:lvl>
    <w:lvl w:ilvl="8" w:tplc="70AA8682" w:tentative="1">
      <w:start w:val="1"/>
      <w:numFmt w:val="lowerRoman"/>
      <w:lvlText w:val="%9."/>
      <w:lvlJc w:val="right"/>
      <w:pPr>
        <w:tabs>
          <w:tab w:val="num" w:pos="6120"/>
        </w:tabs>
        <w:ind w:left="6120" w:hanging="180"/>
      </w:pPr>
      <w:rPr>
        <w:rFonts w:cs="Times New Roman"/>
      </w:rPr>
    </w:lvl>
  </w:abstractNum>
  <w:abstractNum w:abstractNumId="17" w15:restartNumberingAfterBreak="0">
    <w:nsid w:val="46AD1FF2"/>
    <w:multiLevelType w:val="hybridMultilevel"/>
    <w:tmpl w:val="69706940"/>
    <w:lvl w:ilvl="0" w:tplc="9704F33C">
      <w:start w:val="1"/>
      <w:numFmt w:val="bullet"/>
      <w:lvlText w:val=""/>
      <w:lvlJc w:val="left"/>
      <w:pPr>
        <w:ind w:left="720" w:hanging="360"/>
      </w:pPr>
      <w:rPr>
        <w:rFonts w:ascii="Symbol" w:hAnsi="Symbol" w:hint="default"/>
      </w:rPr>
    </w:lvl>
    <w:lvl w:ilvl="1" w:tplc="0DE43672" w:tentative="1">
      <w:start w:val="1"/>
      <w:numFmt w:val="bullet"/>
      <w:lvlText w:val="o"/>
      <w:lvlJc w:val="left"/>
      <w:pPr>
        <w:ind w:left="1440" w:hanging="360"/>
      </w:pPr>
      <w:rPr>
        <w:rFonts w:ascii="Courier New" w:hAnsi="Courier New" w:hint="default"/>
      </w:rPr>
    </w:lvl>
    <w:lvl w:ilvl="2" w:tplc="35DA49A0" w:tentative="1">
      <w:start w:val="1"/>
      <w:numFmt w:val="bullet"/>
      <w:lvlText w:val=""/>
      <w:lvlJc w:val="left"/>
      <w:pPr>
        <w:ind w:left="2160" w:hanging="360"/>
      </w:pPr>
      <w:rPr>
        <w:rFonts w:ascii="Wingdings" w:hAnsi="Wingdings" w:hint="default"/>
      </w:rPr>
    </w:lvl>
    <w:lvl w:ilvl="3" w:tplc="0DACC5E8" w:tentative="1">
      <w:start w:val="1"/>
      <w:numFmt w:val="bullet"/>
      <w:lvlText w:val=""/>
      <w:lvlJc w:val="left"/>
      <w:pPr>
        <w:ind w:left="2880" w:hanging="360"/>
      </w:pPr>
      <w:rPr>
        <w:rFonts w:ascii="Symbol" w:hAnsi="Symbol" w:hint="default"/>
      </w:rPr>
    </w:lvl>
    <w:lvl w:ilvl="4" w:tplc="E1E46F72" w:tentative="1">
      <w:start w:val="1"/>
      <w:numFmt w:val="bullet"/>
      <w:lvlText w:val="o"/>
      <w:lvlJc w:val="left"/>
      <w:pPr>
        <w:ind w:left="3600" w:hanging="360"/>
      </w:pPr>
      <w:rPr>
        <w:rFonts w:ascii="Courier New" w:hAnsi="Courier New" w:hint="default"/>
      </w:rPr>
    </w:lvl>
    <w:lvl w:ilvl="5" w:tplc="C1A45CA6" w:tentative="1">
      <w:start w:val="1"/>
      <w:numFmt w:val="bullet"/>
      <w:lvlText w:val=""/>
      <w:lvlJc w:val="left"/>
      <w:pPr>
        <w:ind w:left="4320" w:hanging="360"/>
      </w:pPr>
      <w:rPr>
        <w:rFonts w:ascii="Wingdings" w:hAnsi="Wingdings" w:hint="default"/>
      </w:rPr>
    </w:lvl>
    <w:lvl w:ilvl="6" w:tplc="D968EDB4" w:tentative="1">
      <w:start w:val="1"/>
      <w:numFmt w:val="bullet"/>
      <w:lvlText w:val=""/>
      <w:lvlJc w:val="left"/>
      <w:pPr>
        <w:ind w:left="5040" w:hanging="360"/>
      </w:pPr>
      <w:rPr>
        <w:rFonts w:ascii="Symbol" w:hAnsi="Symbol" w:hint="default"/>
      </w:rPr>
    </w:lvl>
    <w:lvl w:ilvl="7" w:tplc="A49C9A54" w:tentative="1">
      <w:start w:val="1"/>
      <w:numFmt w:val="bullet"/>
      <w:lvlText w:val="o"/>
      <w:lvlJc w:val="left"/>
      <w:pPr>
        <w:ind w:left="5760" w:hanging="360"/>
      </w:pPr>
      <w:rPr>
        <w:rFonts w:ascii="Courier New" w:hAnsi="Courier New" w:hint="default"/>
      </w:rPr>
    </w:lvl>
    <w:lvl w:ilvl="8" w:tplc="29784E16" w:tentative="1">
      <w:start w:val="1"/>
      <w:numFmt w:val="bullet"/>
      <w:lvlText w:val=""/>
      <w:lvlJc w:val="left"/>
      <w:pPr>
        <w:ind w:left="6480" w:hanging="360"/>
      </w:pPr>
      <w:rPr>
        <w:rFonts w:ascii="Wingdings" w:hAnsi="Wingdings" w:hint="default"/>
      </w:rPr>
    </w:lvl>
  </w:abstractNum>
  <w:abstractNum w:abstractNumId="18" w15:restartNumberingAfterBreak="0">
    <w:nsid w:val="48B74C67"/>
    <w:multiLevelType w:val="singleLevel"/>
    <w:tmpl w:val="55A8656E"/>
    <w:lvl w:ilvl="0">
      <w:start w:val="1"/>
      <w:numFmt w:val="decimal"/>
      <w:lvlText w:val="%1."/>
      <w:lvlJc w:val="left"/>
      <w:pPr>
        <w:tabs>
          <w:tab w:val="num" w:pos="720"/>
        </w:tabs>
        <w:ind w:left="720" w:hanging="720"/>
      </w:pPr>
      <w:rPr>
        <w:rFonts w:cs="Times New Roman"/>
      </w:rPr>
    </w:lvl>
  </w:abstractNum>
  <w:abstractNum w:abstractNumId="19" w15:restartNumberingAfterBreak="0">
    <w:nsid w:val="494B0899"/>
    <w:multiLevelType w:val="hybridMultilevel"/>
    <w:tmpl w:val="D3702A3A"/>
    <w:lvl w:ilvl="0" w:tplc="BC1C2E5A">
      <w:numFmt w:val="bullet"/>
      <w:lvlText w:val="-"/>
      <w:lvlJc w:val="left"/>
      <w:pPr>
        <w:tabs>
          <w:tab w:val="num" w:pos="720"/>
        </w:tabs>
        <w:ind w:left="720" w:hanging="360"/>
      </w:pPr>
      <w:rPr>
        <w:rFonts w:ascii="Arial" w:eastAsia="Times New Roman" w:hAnsi="Arial" w:hint="default"/>
      </w:rPr>
    </w:lvl>
    <w:lvl w:ilvl="1" w:tplc="92CC29AE" w:tentative="1">
      <w:start w:val="1"/>
      <w:numFmt w:val="bullet"/>
      <w:lvlText w:val="o"/>
      <w:lvlJc w:val="left"/>
      <w:pPr>
        <w:tabs>
          <w:tab w:val="num" w:pos="1440"/>
        </w:tabs>
        <w:ind w:left="1440" w:hanging="360"/>
      </w:pPr>
      <w:rPr>
        <w:rFonts w:ascii="Courier New" w:hAnsi="Courier New" w:hint="default"/>
      </w:rPr>
    </w:lvl>
    <w:lvl w:ilvl="2" w:tplc="639497EE" w:tentative="1">
      <w:start w:val="1"/>
      <w:numFmt w:val="bullet"/>
      <w:lvlText w:val=""/>
      <w:lvlJc w:val="left"/>
      <w:pPr>
        <w:tabs>
          <w:tab w:val="num" w:pos="2160"/>
        </w:tabs>
        <w:ind w:left="2160" w:hanging="360"/>
      </w:pPr>
      <w:rPr>
        <w:rFonts w:ascii="Wingdings" w:hAnsi="Wingdings" w:hint="default"/>
      </w:rPr>
    </w:lvl>
    <w:lvl w:ilvl="3" w:tplc="14068FBA" w:tentative="1">
      <w:start w:val="1"/>
      <w:numFmt w:val="bullet"/>
      <w:lvlText w:val=""/>
      <w:lvlJc w:val="left"/>
      <w:pPr>
        <w:tabs>
          <w:tab w:val="num" w:pos="2880"/>
        </w:tabs>
        <w:ind w:left="2880" w:hanging="360"/>
      </w:pPr>
      <w:rPr>
        <w:rFonts w:ascii="Symbol" w:hAnsi="Symbol" w:hint="default"/>
      </w:rPr>
    </w:lvl>
    <w:lvl w:ilvl="4" w:tplc="36BE8544" w:tentative="1">
      <w:start w:val="1"/>
      <w:numFmt w:val="bullet"/>
      <w:lvlText w:val="o"/>
      <w:lvlJc w:val="left"/>
      <w:pPr>
        <w:tabs>
          <w:tab w:val="num" w:pos="3600"/>
        </w:tabs>
        <w:ind w:left="3600" w:hanging="360"/>
      </w:pPr>
      <w:rPr>
        <w:rFonts w:ascii="Courier New" w:hAnsi="Courier New" w:hint="default"/>
      </w:rPr>
    </w:lvl>
    <w:lvl w:ilvl="5" w:tplc="23A0388C" w:tentative="1">
      <w:start w:val="1"/>
      <w:numFmt w:val="bullet"/>
      <w:lvlText w:val=""/>
      <w:lvlJc w:val="left"/>
      <w:pPr>
        <w:tabs>
          <w:tab w:val="num" w:pos="4320"/>
        </w:tabs>
        <w:ind w:left="4320" w:hanging="360"/>
      </w:pPr>
      <w:rPr>
        <w:rFonts w:ascii="Wingdings" w:hAnsi="Wingdings" w:hint="default"/>
      </w:rPr>
    </w:lvl>
    <w:lvl w:ilvl="6" w:tplc="A1ACB6B2" w:tentative="1">
      <w:start w:val="1"/>
      <w:numFmt w:val="bullet"/>
      <w:lvlText w:val=""/>
      <w:lvlJc w:val="left"/>
      <w:pPr>
        <w:tabs>
          <w:tab w:val="num" w:pos="5040"/>
        </w:tabs>
        <w:ind w:left="5040" w:hanging="360"/>
      </w:pPr>
      <w:rPr>
        <w:rFonts w:ascii="Symbol" w:hAnsi="Symbol" w:hint="default"/>
      </w:rPr>
    </w:lvl>
    <w:lvl w:ilvl="7" w:tplc="807CB4F6" w:tentative="1">
      <w:start w:val="1"/>
      <w:numFmt w:val="bullet"/>
      <w:lvlText w:val="o"/>
      <w:lvlJc w:val="left"/>
      <w:pPr>
        <w:tabs>
          <w:tab w:val="num" w:pos="5760"/>
        </w:tabs>
        <w:ind w:left="5760" w:hanging="360"/>
      </w:pPr>
      <w:rPr>
        <w:rFonts w:ascii="Courier New" w:hAnsi="Courier New" w:hint="default"/>
      </w:rPr>
    </w:lvl>
    <w:lvl w:ilvl="8" w:tplc="D08AB5B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75FE3"/>
    <w:multiLevelType w:val="hybridMultilevel"/>
    <w:tmpl w:val="C31ECC9C"/>
    <w:lvl w:ilvl="0" w:tplc="835CDB30">
      <w:start w:val="1"/>
      <w:numFmt w:val="decimal"/>
      <w:lvlText w:val="%1."/>
      <w:lvlJc w:val="left"/>
      <w:pPr>
        <w:ind w:left="786" w:hanging="360"/>
      </w:pPr>
      <w:rPr>
        <w:rFonts w:cs="Times New Roman" w:hint="default"/>
        <w:b w:val="0"/>
        <w:sz w:val="20"/>
        <w:szCs w:val="20"/>
      </w:rPr>
    </w:lvl>
    <w:lvl w:ilvl="1" w:tplc="6C1A834C" w:tentative="1">
      <w:start w:val="1"/>
      <w:numFmt w:val="lowerLetter"/>
      <w:lvlText w:val="%2."/>
      <w:lvlJc w:val="left"/>
      <w:pPr>
        <w:ind w:left="1364" w:hanging="360"/>
      </w:pPr>
      <w:rPr>
        <w:rFonts w:cs="Times New Roman"/>
      </w:rPr>
    </w:lvl>
    <w:lvl w:ilvl="2" w:tplc="986253EE" w:tentative="1">
      <w:start w:val="1"/>
      <w:numFmt w:val="lowerRoman"/>
      <w:lvlText w:val="%3."/>
      <w:lvlJc w:val="right"/>
      <w:pPr>
        <w:ind w:left="2084" w:hanging="180"/>
      </w:pPr>
      <w:rPr>
        <w:rFonts w:cs="Times New Roman"/>
      </w:rPr>
    </w:lvl>
    <w:lvl w:ilvl="3" w:tplc="58E4779A" w:tentative="1">
      <w:start w:val="1"/>
      <w:numFmt w:val="decimal"/>
      <w:lvlText w:val="%4."/>
      <w:lvlJc w:val="left"/>
      <w:pPr>
        <w:ind w:left="2804" w:hanging="360"/>
      </w:pPr>
      <w:rPr>
        <w:rFonts w:cs="Times New Roman"/>
      </w:rPr>
    </w:lvl>
    <w:lvl w:ilvl="4" w:tplc="B9B6315E" w:tentative="1">
      <w:start w:val="1"/>
      <w:numFmt w:val="lowerLetter"/>
      <w:lvlText w:val="%5."/>
      <w:lvlJc w:val="left"/>
      <w:pPr>
        <w:ind w:left="3524" w:hanging="360"/>
      </w:pPr>
      <w:rPr>
        <w:rFonts w:cs="Times New Roman"/>
      </w:rPr>
    </w:lvl>
    <w:lvl w:ilvl="5" w:tplc="5FE085C4" w:tentative="1">
      <w:start w:val="1"/>
      <w:numFmt w:val="lowerRoman"/>
      <w:lvlText w:val="%6."/>
      <w:lvlJc w:val="right"/>
      <w:pPr>
        <w:ind w:left="4244" w:hanging="180"/>
      </w:pPr>
      <w:rPr>
        <w:rFonts w:cs="Times New Roman"/>
      </w:rPr>
    </w:lvl>
    <w:lvl w:ilvl="6" w:tplc="3F04023E" w:tentative="1">
      <w:start w:val="1"/>
      <w:numFmt w:val="decimal"/>
      <w:lvlText w:val="%7."/>
      <w:lvlJc w:val="left"/>
      <w:pPr>
        <w:ind w:left="4964" w:hanging="360"/>
      </w:pPr>
      <w:rPr>
        <w:rFonts w:cs="Times New Roman"/>
      </w:rPr>
    </w:lvl>
    <w:lvl w:ilvl="7" w:tplc="7592DBFE" w:tentative="1">
      <w:start w:val="1"/>
      <w:numFmt w:val="lowerLetter"/>
      <w:lvlText w:val="%8."/>
      <w:lvlJc w:val="left"/>
      <w:pPr>
        <w:ind w:left="5684" w:hanging="360"/>
      </w:pPr>
      <w:rPr>
        <w:rFonts w:cs="Times New Roman"/>
      </w:rPr>
    </w:lvl>
    <w:lvl w:ilvl="8" w:tplc="6184737E" w:tentative="1">
      <w:start w:val="1"/>
      <w:numFmt w:val="lowerRoman"/>
      <w:lvlText w:val="%9."/>
      <w:lvlJc w:val="right"/>
      <w:pPr>
        <w:ind w:left="6404" w:hanging="180"/>
      </w:pPr>
      <w:rPr>
        <w:rFonts w:cs="Times New Roman"/>
      </w:rPr>
    </w:lvl>
  </w:abstractNum>
  <w:abstractNum w:abstractNumId="21" w15:restartNumberingAfterBreak="0">
    <w:nsid w:val="559F0CD8"/>
    <w:multiLevelType w:val="hybridMultilevel"/>
    <w:tmpl w:val="BCA22080"/>
    <w:lvl w:ilvl="0" w:tplc="7B68D3D6">
      <w:start w:val="1"/>
      <w:numFmt w:val="bullet"/>
      <w:lvlText w:val=""/>
      <w:lvlJc w:val="left"/>
      <w:pPr>
        <w:ind w:left="720" w:hanging="360"/>
      </w:pPr>
      <w:rPr>
        <w:rFonts w:ascii="Symbol" w:hAnsi="Symbol" w:hint="default"/>
      </w:rPr>
    </w:lvl>
    <w:lvl w:ilvl="1" w:tplc="46AC8D72" w:tentative="1">
      <w:start w:val="1"/>
      <w:numFmt w:val="bullet"/>
      <w:lvlText w:val="o"/>
      <w:lvlJc w:val="left"/>
      <w:pPr>
        <w:ind w:left="1440" w:hanging="360"/>
      </w:pPr>
      <w:rPr>
        <w:rFonts w:ascii="Courier New" w:hAnsi="Courier New" w:hint="default"/>
      </w:rPr>
    </w:lvl>
    <w:lvl w:ilvl="2" w:tplc="C2FA9F1A" w:tentative="1">
      <w:start w:val="1"/>
      <w:numFmt w:val="bullet"/>
      <w:lvlText w:val=""/>
      <w:lvlJc w:val="left"/>
      <w:pPr>
        <w:ind w:left="2160" w:hanging="360"/>
      </w:pPr>
      <w:rPr>
        <w:rFonts w:ascii="Wingdings" w:hAnsi="Wingdings" w:hint="default"/>
      </w:rPr>
    </w:lvl>
    <w:lvl w:ilvl="3" w:tplc="27901A92" w:tentative="1">
      <w:start w:val="1"/>
      <w:numFmt w:val="bullet"/>
      <w:lvlText w:val=""/>
      <w:lvlJc w:val="left"/>
      <w:pPr>
        <w:ind w:left="2880" w:hanging="360"/>
      </w:pPr>
      <w:rPr>
        <w:rFonts w:ascii="Symbol" w:hAnsi="Symbol" w:hint="default"/>
      </w:rPr>
    </w:lvl>
    <w:lvl w:ilvl="4" w:tplc="C2A6158A" w:tentative="1">
      <w:start w:val="1"/>
      <w:numFmt w:val="bullet"/>
      <w:lvlText w:val="o"/>
      <w:lvlJc w:val="left"/>
      <w:pPr>
        <w:ind w:left="3600" w:hanging="360"/>
      </w:pPr>
      <w:rPr>
        <w:rFonts w:ascii="Courier New" w:hAnsi="Courier New" w:hint="default"/>
      </w:rPr>
    </w:lvl>
    <w:lvl w:ilvl="5" w:tplc="A718D32E" w:tentative="1">
      <w:start w:val="1"/>
      <w:numFmt w:val="bullet"/>
      <w:lvlText w:val=""/>
      <w:lvlJc w:val="left"/>
      <w:pPr>
        <w:ind w:left="4320" w:hanging="360"/>
      </w:pPr>
      <w:rPr>
        <w:rFonts w:ascii="Wingdings" w:hAnsi="Wingdings" w:hint="default"/>
      </w:rPr>
    </w:lvl>
    <w:lvl w:ilvl="6" w:tplc="4922F0EE" w:tentative="1">
      <w:start w:val="1"/>
      <w:numFmt w:val="bullet"/>
      <w:lvlText w:val=""/>
      <w:lvlJc w:val="left"/>
      <w:pPr>
        <w:ind w:left="5040" w:hanging="360"/>
      </w:pPr>
      <w:rPr>
        <w:rFonts w:ascii="Symbol" w:hAnsi="Symbol" w:hint="default"/>
      </w:rPr>
    </w:lvl>
    <w:lvl w:ilvl="7" w:tplc="78E2D922" w:tentative="1">
      <w:start w:val="1"/>
      <w:numFmt w:val="bullet"/>
      <w:lvlText w:val="o"/>
      <w:lvlJc w:val="left"/>
      <w:pPr>
        <w:ind w:left="5760" w:hanging="360"/>
      </w:pPr>
      <w:rPr>
        <w:rFonts w:ascii="Courier New" w:hAnsi="Courier New" w:hint="default"/>
      </w:rPr>
    </w:lvl>
    <w:lvl w:ilvl="8" w:tplc="9776FDA6" w:tentative="1">
      <w:start w:val="1"/>
      <w:numFmt w:val="bullet"/>
      <w:lvlText w:val=""/>
      <w:lvlJc w:val="left"/>
      <w:pPr>
        <w:ind w:left="6480" w:hanging="360"/>
      </w:pPr>
      <w:rPr>
        <w:rFonts w:ascii="Wingdings" w:hAnsi="Wingdings" w:hint="default"/>
      </w:rPr>
    </w:lvl>
  </w:abstractNum>
  <w:abstractNum w:abstractNumId="22" w15:restartNumberingAfterBreak="0">
    <w:nsid w:val="60347E1E"/>
    <w:multiLevelType w:val="hybridMultilevel"/>
    <w:tmpl w:val="277E5594"/>
    <w:lvl w:ilvl="0" w:tplc="C3DEC62E">
      <w:start w:val="1"/>
      <w:numFmt w:val="bullet"/>
      <w:lvlText w:val=""/>
      <w:lvlJc w:val="left"/>
      <w:pPr>
        <w:ind w:left="720" w:hanging="360"/>
      </w:pPr>
      <w:rPr>
        <w:rFonts w:ascii="Symbol" w:hAnsi="Symbol" w:hint="default"/>
      </w:rPr>
    </w:lvl>
    <w:lvl w:ilvl="1" w:tplc="581232DA" w:tentative="1">
      <w:start w:val="1"/>
      <w:numFmt w:val="bullet"/>
      <w:lvlText w:val="o"/>
      <w:lvlJc w:val="left"/>
      <w:pPr>
        <w:ind w:left="1440" w:hanging="360"/>
      </w:pPr>
      <w:rPr>
        <w:rFonts w:ascii="Courier New" w:hAnsi="Courier New" w:hint="default"/>
      </w:rPr>
    </w:lvl>
    <w:lvl w:ilvl="2" w:tplc="51907B30" w:tentative="1">
      <w:start w:val="1"/>
      <w:numFmt w:val="bullet"/>
      <w:lvlText w:val=""/>
      <w:lvlJc w:val="left"/>
      <w:pPr>
        <w:ind w:left="2160" w:hanging="360"/>
      </w:pPr>
      <w:rPr>
        <w:rFonts w:ascii="Wingdings" w:hAnsi="Wingdings" w:hint="default"/>
      </w:rPr>
    </w:lvl>
    <w:lvl w:ilvl="3" w:tplc="45704D0A" w:tentative="1">
      <w:start w:val="1"/>
      <w:numFmt w:val="bullet"/>
      <w:lvlText w:val=""/>
      <w:lvlJc w:val="left"/>
      <w:pPr>
        <w:ind w:left="2880" w:hanging="360"/>
      </w:pPr>
      <w:rPr>
        <w:rFonts w:ascii="Symbol" w:hAnsi="Symbol" w:hint="default"/>
      </w:rPr>
    </w:lvl>
    <w:lvl w:ilvl="4" w:tplc="F8625622" w:tentative="1">
      <w:start w:val="1"/>
      <w:numFmt w:val="bullet"/>
      <w:lvlText w:val="o"/>
      <w:lvlJc w:val="left"/>
      <w:pPr>
        <w:ind w:left="3600" w:hanging="360"/>
      </w:pPr>
      <w:rPr>
        <w:rFonts w:ascii="Courier New" w:hAnsi="Courier New" w:hint="default"/>
      </w:rPr>
    </w:lvl>
    <w:lvl w:ilvl="5" w:tplc="EF763252" w:tentative="1">
      <w:start w:val="1"/>
      <w:numFmt w:val="bullet"/>
      <w:lvlText w:val=""/>
      <w:lvlJc w:val="left"/>
      <w:pPr>
        <w:ind w:left="4320" w:hanging="360"/>
      </w:pPr>
      <w:rPr>
        <w:rFonts w:ascii="Wingdings" w:hAnsi="Wingdings" w:hint="default"/>
      </w:rPr>
    </w:lvl>
    <w:lvl w:ilvl="6" w:tplc="D5C0DE62" w:tentative="1">
      <w:start w:val="1"/>
      <w:numFmt w:val="bullet"/>
      <w:lvlText w:val=""/>
      <w:lvlJc w:val="left"/>
      <w:pPr>
        <w:ind w:left="5040" w:hanging="360"/>
      </w:pPr>
      <w:rPr>
        <w:rFonts w:ascii="Symbol" w:hAnsi="Symbol" w:hint="default"/>
      </w:rPr>
    </w:lvl>
    <w:lvl w:ilvl="7" w:tplc="D570D8CA" w:tentative="1">
      <w:start w:val="1"/>
      <w:numFmt w:val="bullet"/>
      <w:lvlText w:val="o"/>
      <w:lvlJc w:val="left"/>
      <w:pPr>
        <w:ind w:left="5760" w:hanging="360"/>
      </w:pPr>
      <w:rPr>
        <w:rFonts w:ascii="Courier New" w:hAnsi="Courier New" w:hint="default"/>
      </w:rPr>
    </w:lvl>
    <w:lvl w:ilvl="8" w:tplc="6284DD10" w:tentative="1">
      <w:start w:val="1"/>
      <w:numFmt w:val="bullet"/>
      <w:lvlText w:val=""/>
      <w:lvlJc w:val="left"/>
      <w:pPr>
        <w:ind w:left="6480" w:hanging="360"/>
      </w:pPr>
      <w:rPr>
        <w:rFonts w:ascii="Wingdings" w:hAnsi="Wingdings" w:hint="default"/>
      </w:rPr>
    </w:lvl>
  </w:abstractNum>
  <w:abstractNum w:abstractNumId="23" w15:restartNumberingAfterBreak="0">
    <w:nsid w:val="68141E3A"/>
    <w:multiLevelType w:val="hybridMultilevel"/>
    <w:tmpl w:val="0402FA7C"/>
    <w:lvl w:ilvl="0" w:tplc="783E4C3C">
      <w:start w:val="1"/>
      <w:numFmt w:val="bullet"/>
      <w:lvlText w:val=""/>
      <w:lvlJc w:val="left"/>
      <w:pPr>
        <w:ind w:left="720" w:hanging="360"/>
      </w:pPr>
      <w:rPr>
        <w:rFonts w:ascii="Symbol" w:hAnsi="Symbol" w:hint="default"/>
      </w:rPr>
    </w:lvl>
    <w:lvl w:ilvl="1" w:tplc="08D2A274" w:tentative="1">
      <w:start w:val="1"/>
      <w:numFmt w:val="bullet"/>
      <w:lvlText w:val="o"/>
      <w:lvlJc w:val="left"/>
      <w:pPr>
        <w:ind w:left="1440" w:hanging="360"/>
      </w:pPr>
      <w:rPr>
        <w:rFonts w:ascii="Courier New" w:hAnsi="Courier New" w:cs="Courier New" w:hint="default"/>
      </w:rPr>
    </w:lvl>
    <w:lvl w:ilvl="2" w:tplc="C7BE5A38" w:tentative="1">
      <w:start w:val="1"/>
      <w:numFmt w:val="bullet"/>
      <w:lvlText w:val=""/>
      <w:lvlJc w:val="left"/>
      <w:pPr>
        <w:ind w:left="2160" w:hanging="360"/>
      </w:pPr>
      <w:rPr>
        <w:rFonts w:ascii="Wingdings" w:hAnsi="Wingdings" w:hint="default"/>
      </w:rPr>
    </w:lvl>
    <w:lvl w:ilvl="3" w:tplc="AEE62922" w:tentative="1">
      <w:start w:val="1"/>
      <w:numFmt w:val="bullet"/>
      <w:lvlText w:val=""/>
      <w:lvlJc w:val="left"/>
      <w:pPr>
        <w:ind w:left="2880" w:hanging="360"/>
      </w:pPr>
      <w:rPr>
        <w:rFonts w:ascii="Symbol" w:hAnsi="Symbol" w:hint="default"/>
      </w:rPr>
    </w:lvl>
    <w:lvl w:ilvl="4" w:tplc="7AF203E2" w:tentative="1">
      <w:start w:val="1"/>
      <w:numFmt w:val="bullet"/>
      <w:lvlText w:val="o"/>
      <w:lvlJc w:val="left"/>
      <w:pPr>
        <w:ind w:left="3600" w:hanging="360"/>
      </w:pPr>
      <w:rPr>
        <w:rFonts w:ascii="Courier New" w:hAnsi="Courier New" w:cs="Courier New" w:hint="default"/>
      </w:rPr>
    </w:lvl>
    <w:lvl w:ilvl="5" w:tplc="49BAEDCC" w:tentative="1">
      <w:start w:val="1"/>
      <w:numFmt w:val="bullet"/>
      <w:lvlText w:val=""/>
      <w:lvlJc w:val="left"/>
      <w:pPr>
        <w:ind w:left="4320" w:hanging="360"/>
      </w:pPr>
      <w:rPr>
        <w:rFonts w:ascii="Wingdings" w:hAnsi="Wingdings" w:hint="default"/>
      </w:rPr>
    </w:lvl>
    <w:lvl w:ilvl="6" w:tplc="601C826A" w:tentative="1">
      <w:start w:val="1"/>
      <w:numFmt w:val="bullet"/>
      <w:lvlText w:val=""/>
      <w:lvlJc w:val="left"/>
      <w:pPr>
        <w:ind w:left="5040" w:hanging="360"/>
      </w:pPr>
      <w:rPr>
        <w:rFonts w:ascii="Symbol" w:hAnsi="Symbol" w:hint="default"/>
      </w:rPr>
    </w:lvl>
    <w:lvl w:ilvl="7" w:tplc="8954CD0C" w:tentative="1">
      <w:start w:val="1"/>
      <w:numFmt w:val="bullet"/>
      <w:lvlText w:val="o"/>
      <w:lvlJc w:val="left"/>
      <w:pPr>
        <w:ind w:left="5760" w:hanging="360"/>
      </w:pPr>
      <w:rPr>
        <w:rFonts w:ascii="Courier New" w:hAnsi="Courier New" w:cs="Courier New" w:hint="default"/>
      </w:rPr>
    </w:lvl>
    <w:lvl w:ilvl="8" w:tplc="DDA0001C" w:tentative="1">
      <w:start w:val="1"/>
      <w:numFmt w:val="bullet"/>
      <w:lvlText w:val=""/>
      <w:lvlJc w:val="left"/>
      <w:pPr>
        <w:ind w:left="6480" w:hanging="360"/>
      </w:pPr>
      <w:rPr>
        <w:rFonts w:ascii="Wingdings" w:hAnsi="Wingdings" w:hint="default"/>
      </w:rPr>
    </w:lvl>
  </w:abstractNum>
  <w:abstractNum w:abstractNumId="24" w15:restartNumberingAfterBreak="0">
    <w:nsid w:val="68FF3CC4"/>
    <w:multiLevelType w:val="hybridMultilevel"/>
    <w:tmpl w:val="B0D0D240"/>
    <w:lvl w:ilvl="0" w:tplc="C752235E">
      <w:start w:val="1"/>
      <w:numFmt w:val="decimal"/>
      <w:lvlText w:val="%1."/>
      <w:lvlJc w:val="left"/>
      <w:pPr>
        <w:ind w:left="720" w:hanging="360"/>
      </w:pPr>
      <w:rPr>
        <w:rFonts w:cs="Times New Roman" w:hint="default"/>
      </w:rPr>
    </w:lvl>
    <w:lvl w:ilvl="1" w:tplc="277C2812" w:tentative="1">
      <w:start w:val="1"/>
      <w:numFmt w:val="lowerLetter"/>
      <w:lvlText w:val="%2."/>
      <w:lvlJc w:val="left"/>
      <w:pPr>
        <w:ind w:left="1440" w:hanging="360"/>
      </w:pPr>
      <w:rPr>
        <w:rFonts w:cs="Times New Roman"/>
      </w:rPr>
    </w:lvl>
    <w:lvl w:ilvl="2" w:tplc="A63A7256" w:tentative="1">
      <w:start w:val="1"/>
      <w:numFmt w:val="lowerRoman"/>
      <w:lvlText w:val="%3."/>
      <w:lvlJc w:val="right"/>
      <w:pPr>
        <w:ind w:left="2160" w:hanging="180"/>
      </w:pPr>
      <w:rPr>
        <w:rFonts w:cs="Times New Roman"/>
      </w:rPr>
    </w:lvl>
    <w:lvl w:ilvl="3" w:tplc="BDA4F7B4" w:tentative="1">
      <w:start w:val="1"/>
      <w:numFmt w:val="decimal"/>
      <w:lvlText w:val="%4."/>
      <w:lvlJc w:val="left"/>
      <w:pPr>
        <w:ind w:left="2880" w:hanging="360"/>
      </w:pPr>
      <w:rPr>
        <w:rFonts w:cs="Times New Roman"/>
      </w:rPr>
    </w:lvl>
    <w:lvl w:ilvl="4" w:tplc="4048994C" w:tentative="1">
      <w:start w:val="1"/>
      <w:numFmt w:val="lowerLetter"/>
      <w:lvlText w:val="%5."/>
      <w:lvlJc w:val="left"/>
      <w:pPr>
        <w:ind w:left="3600" w:hanging="360"/>
      </w:pPr>
      <w:rPr>
        <w:rFonts w:cs="Times New Roman"/>
      </w:rPr>
    </w:lvl>
    <w:lvl w:ilvl="5" w:tplc="81A06000" w:tentative="1">
      <w:start w:val="1"/>
      <w:numFmt w:val="lowerRoman"/>
      <w:lvlText w:val="%6."/>
      <w:lvlJc w:val="right"/>
      <w:pPr>
        <w:ind w:left="4320" w:hanging="180"/>
      </w:pPr>
      <w:rPr>
        <w:rFonts w:cs="Times New Roman"/>
      </w:rPr>
    </w:lvl>
    <w:lvl w:ilvl="6" w:tplc="5A30390E" w:tentative="1">
      <w:start w:val="1"/>
      <w:numFmt w:val="decimal"/>
      <w:lvlText w:val="%7."/>
      <w:lvlJc w:val="left"/>
      <w:pPr>
        <w:ind w:left="5040" w:hanging="360"/>
      </w:pPr>
      <w:rPr>
        <w:rFonts w:cs="Times New Roman"/>
      </w:rPr>
    </w:lvl>
    <w:lvl w:ilvl="7" w:tplc="3C2A822C" w:tentative="1">
      <w:start w:val="1"/>
      <w:numFmt w:val="lowerLetter"/>
      <w:lvlText w:val="%8."/>
      <w:lvlJc w:val="left"/>
      <w:pPr>
        <w:ind w:left="5760" w:hanging="360"/>
      </w:pPr>
      <w:rPr>
        <w:rFonts w:cs="Times New Roman"/>
      </w:rPr>
    </w:lvl>
    <w:lvl w:ilvl="8" w:tplc="6B4CE450" w:tentative="1">
      <w:start w:val="1"/>
      <w:numFmt w:val="lowerRoman"/>
      <w:lvlText w:val="%9."/>
      <w:lvlJc w:val="right"/>
      <w:pPr>
        <w:ind w:left="6480" w:hanging="180"/>
      </w:pPr>
      <w:rPr>
        <w:rFonts w:cs="Times New Roman"/>
      </w:rPr>
    </w:lvl>
  </w:abstractNum>
  <w:abstractNum w:abstractNumId="25" w15:restartNumberingAfterBreak="0">
    <w:nsid w:val="69187EAD"/>
    <w:multiLevelType w:val="hybridMultilevel"/>
    <w:tmpl w:val="A2A05C94"/>
    <w:lvl w:ilvl="0" w:tplc="F5069B50">
      <w:start w:val="1"/>
      <w:numFmt w:val="decimal"/>
      <w:lvlText w:val="%1."/>
      <w:lvlJc w:val="left"/>
      <w:pPr>
        <w:ind w:left="720" w:hanging="360"/>
      </w:pPr>
      <w:rPr>
        <w:rFonts w:cs="Times New Roman" w:hint="default"/>
      </w:rPr>
    </w:lvl>
    <w:lvl w:ilvl="1" w:tplc="E9D0687A" w:tentative="1">
      <w:start w:val="1"/>
      <w:numFmt w:val="lowerLetter"/>
      <w:lvlText w:val="%2."/>
      <w:lvlJc w:val="left"/>
      <w:pPr>
        <w:ind w:left="1440" w:hanging="360"/>
      </w:pPr>
      <w:rPr>
        <w:rFonts w:cs="Times New Roman"/>
      </w:rPr>
    </w:lvl>
    <w:lvl w:ilvl="2" w:tplc="8A20970E" w:tentative="1">
      <w:start w:val="1"/>
      <w:numFmt w:val="lowerRoman"/>
      <w:lvlText w:val="%3."/>
      <w:lvlJc w:val="right"/>
      <w:pPr>
        <w:ind w:left="2160" w:hanging="180"/>
      </w:pPr>
      <w:rPr>
        <w:rFonts w:cs="Times New Roman"/>
      </w:rPr>
    </w:lvl>
    <w:lvl w:ilvl="3" w:tplc="A08E0B90" w:tentative="1">
      <w:start w:val="1"/>
      <w:numFmt w:val="decimal"/>
      <w:lvlText w:val="%4."/>
      <w:lvlJc w:val="left"/>
      <w:pPr>
        <w:ind w:left="2880" w:hanging="360"/>
      </w:pPr>
      <w:rPr>
        <w:rFonts w:cs="Times New Roman"/>
      </w:rPr>
    </w:lvl>
    <w:lvl w:ilvl="4" w:tplc="E33278BA" w:tentative="1">
      <w:start w:val="1"/>
      <w:numFmt w:val="lowerLetter"/>
      <w:lvlText w:val="%5."/>
      <w:lvlJc w:val="left"/>
      <w:pPr>
        <w:ind w:left="3600" w:hanging="360"/>
      </w:pPr>
      <w:rPr>
        <w:rFonts w:cs="Times New Roman"/>
      </w:rPr>
    </w:lvl>
    <w:lvl w:ilvl="5" w:tplc="DA9AEDE4" w:tentative="1">
      <w:start w:val="1"/>
      <w:numFmt w:val="lowerRoman"/>
      <w:lvlText w:val="%6."/>
      <w:lvlJc w:val="right"/>
      <w:pPr>
        <w:ind w:left="4320" w:hanging="180"/>
      </w:pPr>
      <w:rPr>
        <w:rFonts w:cs="Times New Roman"/>
      </w:rPr>
    </w:lvl>
    <w:lvl w:ilvl="6" w:tplc="0810C424" w:tentative="1">
      <w:start w:val="1"/>
      <w:numFmt w:val="decimal"/>
      <w:lvlText w:val="%7."/>
      <w:lvlJc w:val="left"/>
      <w:pPr>
        <w:ind w:left="5040" w:hanging="360"/>
      </w:pPr>
      <w:rPr>
        <w:rFonts w:cs="Times New Roman"/>
      </w:rPr>
    </w:lvl>
    <w:lvl w:ilvl="7" w:tplc="4CA6CFC6" w:tentative="1">
      <w:start w:val="1"/>
      <w:numFmt w:val="lowerLetter"/>
      <w:lvlText w:val="%8."/>
      <w:lvlJc w:val="left"/>
      <w:pPr>
        <w:ind w:left="5760" w:hanging="360"/>
      </w:pPr>
      <w:rPr>
        <w:rFonts w:cs="Times New Roman"/>
      </w:rPr>
    </w:lvl>
    <w:lvl w:ilvl="8" w:tplc="68D6333A" w:tentative="1">
      <w:start w:val="1"/>
      <w:numFmt w:val="lowerRoman"/>
      <w:lvlText w:val="%9."/>
      <w:lvlJc w:val="right"/>
      <w:pPr>
        <w:ind w:left="6480" w:hanging="180"/>
      </w:pPr>
      <w:rPr>
        <w:rFonts w:cs="Times New Roman"/>
      </w:rPr>
    </w:lvl>
  </w:abstractNum>
  <w:abstractNum w:abstractNumId="26" w15:restartNumberingAfterBreak="0">
    <w:nsid w:val="78AA753A"/>
    <w:multiLevelType w:val="hybridMultilevel"/>
    <w:tmpl w:val="5E323932"/>
    <w:lvl w:ilvl="0" w:tplc="40B24216">
      <w:numFmt w:val="bullet"/>
      <w:lvlText w:val="—"/>
      <w:lvlJc w:val="left"/>
      <w:pPr>
        <w:ind w:left="720" w:hanging="360"/>
      </w:pPr>
      <w:rPr>
        <w:rFonts w:ascii="Arial" w:eastAsia="Times New Roman" w:hAnsi="Arial" w:hint="default"/>
      </w:rPr>
    </w:lvl>
    <w:lvl w:ilvl="1" w:tplc="BD620BAA" w:tentative="1">
      <w:start w:val="1"/>
      <w:numFmt w:val="bullet"/>
      <w:lvlText w:val="o"/>
      <w:lvlJc w:val="left"/>
      <w:pPr>
        <w:ind w:left="1440" w:hanging="360"/>
      </w:pPr>
      <w:rPr>
        <w:rFonts w:ascii="Courier New" w:hAnsi="Courier New" w:hint="default"/>
      </w:rPr>
    </w:lvl>
    <w:lvl w:ilvl="2" w:tplc="C4A22A00" w:tentative="1">
      <w:start w:val="1"/>
      <w:numFmt w:val="bullet"/>
      <w:lvlText w:val=""/>
      <w:lvlJc w:val="left"/>
      <w:pPr>
        <w:ind w:left="2160" w:hanging="360"/>
      </w:pPr>
      <w:rPr>
        <w:rFonts w:ascii="Wingdings" w:hAnsi="Wingdings" w:hint="default"/>
      </w:rPr>
    </w:lvl>
    <w:lvl w:ilvl="3" w:tplc="BE5C4F3C" w:tentative="1">
      <w:start w:val="1"/>
      <w:numFmt w:val="bullet"/>
      <w:lvlText w:val=""/>
      <w:lvlJc w:val="left"/>
      <w:pPr>
        <w:ind w:left="2880" w:hanging="360"/>
      </w:pPr>
      <w:rPr>
        <w:rFonts w:ascii="Symbol" w:hAnsi="Symbol" w:hint="default"/>
      </w:rPr>
    </w:lvl>
    <w:lvl w:ilvl="4" w:tplc="433E25DA" w:tentative="1">
      <w:start w:val="1"/>
      <w:numFmt w:val="bullet"/>
      <w:lvlText w:val="o"/>
      <w:lvlJc w:val="left"/>
      <w:pPr>
        <w:ind w:left="3600" w:hanging="360"/>
      </w:pPr>
      <w:rPr>
        <w:rFonts w:ascii="Courier New" w:hAnsi="Courier New" w:hint="default"/>
      </w:rPr>
    </w:lvl>
    <w:lvl w:ilvl="5" w:tplc="75D882A8" w:tentative="1">
      <w:start w:val="1"/>
      <w:numFmt w:val="bullet"/>
      <w:lvlText w:val=""/>
      <w:lvlJc w:val="left"/>
      <w:pPr>
        <w:ind w:left="4320" w:hanging="360"/>
      </w:pPr>
      <w:rPr>
        <w:rFonts w:ascii="Wingdings" w:hAnsi="Wingdings" w:hint="default"/>
      </w:rPr>
    </w:lvl>
    <w:lvl w:ilvl="6" w:tplc="109A4F30" w:tentative="1">
      <w:start w:val="1"/>
      <w:numFmt w:val="bullet"/>
      <w:lvlText w:val=""/>
      <w:lvlJc w:val="left"/>
      <w:pPr>
        <w:ind w:left="5040" w:hanging="360"/>
      </w:pPr>
      <w:rPr>
        <w:rFonts w:ascii="Symbol" w:hAnsi="Symbol" w:hint="default"/>
      </w:rPr>
    </w:lvl>
    <w:lvl w:ilvl="7" w:tplc="472843D4" w:tentative="1">
      <w:start w:val="1"/>
      <w:numFmt w:val="bullet"/>
      <w:lvlText w:val="o"/>
      <w:lvlJc w:val="left"/>
      <w:pPr>
        <w:ind w:left="5760" w:hanging="360"/>
      </w:pPr>
      <w:rPr>
        <w:rFonts w:ascii="Courier New" w:hAnsi="Courier New" w:hint="default"/>
      </w:rPr>
    </w:lvl>
    <w:lvl w:ilvl="8" w:tplc="A23E9B9E" w:tentative="1">
      <w:start w:val="1"/>
      <w:numFmt w:val="bullet"/>
      <w:lvlText w:val=""/>
      <w:lvlJc w:val="left"/>
      <w:pPr>
        <w:ind w:left="6480" w:hanging="360"/>
      </w:pPr>
      <w:rPr>
        <w:rFonts w:ascii="Wingdings" w:hAnsi="Wingdings" w:hint="default"/>
      </w:rPr>
    </w:lvl>
  </w:abstractNum>
  <w:abstractNum w:abstractNumId="27" w15:restartNumberingAfterBreak="0">
    <w:nsid w:val="7D43574A"/>
    <w:multiLevelType w:val="hybridMultilevel"/>
    <w:tmpl w:val="EC3C6AD8"/>
    <w:lvl w:ilvl="0" w:tplc="4EAA5518">
      <w:numFmt w:val="bullet"/>
      <w:lvlText w:val="-"/>
      <w:lvlJc w:val="left"/>
      <w:pPr>
        <w:tabs>
          <w:tab w:val="num" w:pos="720"/>
        </w:tabs>
        <w:ind w:left="720" w:hanging="360"/>
      </w:pPr>
      <w:rPr>
        <w:rFonts w:ascii="Arial" w:eastAsia="Times New Roman" w:hAnsi="Arial" w:hint="default"/>
      </w:rPr>
    </w:lvl>
    <w:lvl w:ilvl="1" w:tplc="F54AC17A" w:tentative="1">
      <w:start w:val="1"/>
      <w:numFmt w:val="bullet"/>
      <w:lvlText w:val="o"/>
      <w:lvlJc w:val="left"/>
      <w:pPr>
        <w:tabs>
          <w:tab w:val="num" w:pos="1440"/>
        </w:tabs>
        <w:ind w:left="1440" w:hanging="360"/>
      </w:pPr>
      <w:rPr>
        <w:rFonts w:ascii="Courier New" w:hAnsi="Courier New" w:hint="default"/>
      </w:rPr>
    </w:lvl>
    <w:lvl w:ilvl="2" w:tplc="155A8BE8" w:tentative="1">
      <w:start w:val="1"/>
      <w:numFmt w:val="bullet"/>
      <w:lvlText w:val=""/>
      <w:lvlJc w:val="left"/>
      <w:pPr>
        <w:tabs>
          <w:tab w:val="num" w:pos="2160"/>
        </w:tabs>
        <w:ind w:left="2160" w:hanging="360"/>
      </w:pPr>
      <w:rPr>
        <w:rFonts w:ascii="Wingdings" w:hAnsi="Wingdings" w:hint="default"/>
      </w:rPr>
    </w:lvl>
    <w:lvl w:ilvl="3" w:tplc="EBD02592" w:tentative="1">
      <w:start w:val="1"/>
      <w:numFmt w:val="bullet"/>
      <w:lvlText w:val=""/>
      <w:lvlJc w:val="left"/>
      <w:pPr>
        <w:tabs>
          <w:tab w:val="num" w:pos="2880"/>
        </w:tabs>
        <w:ind w:left="2880" w:hanging="360"/>
      </w:pPr>
      <w:rPr>
        <w:rFonts w:ascii="Symbol" w:hAnsi="Symbol" w:hint="default"/>
      </w:rPr>
    </w:lvl>
    <w:lvl w:ilvl="4" w:tplc="96ACEA46" w:tentative="1">
      <w:start w:val="1"/>
      <w:numFmt w:val="bullet"/>
      <w:lvlText w:val="o"/>
      <w:lvlJc w:val="left"/>
      <w:pPr>
        <w:tabs>
          <w:tab w:val="num" w:pos="3600"/>
        </w:tabs>
        <w:ind w:left="3600" w:hanging="360"/>
      </w:pPr>
      <w:rPr>
        <w:rFonts w:ascii="Courier New" w:hAnsi="Courier New" w:hint="default"/>
      </w:rPr>
    </w:lvl>
    <w:lvl w:ilvl="5" w:tplc="3BB6092A" w:tentative="1">
      <w:start w:val="1"/>
      <w:numFmt w:val="bullet"/>
      <w:lvlText w:val=""/>
      <w:lvlJc w:val="left"/>
      <w:pPr>
        <w:tabs>
          <w:tab w:val="num" w:pos="4320"/>
        </w:tabs>
        <w:ind w:left="4320" w:hanging="360"/>
      </w:pPr>
      <w:rPr>
        <w:rFonts w:ascii="Wingdings" w:hAnsi="Wingdings" w:hint="default"/>
      </w:rPr>
    </w:lvl>
    <w:lvl w:ilvl="6" w:tplc="FD94DD22" w:tentative="1">
      <w:start w:val="1"/>
      <w:numFmt w:val="bullet"/>
      <w:lvlText w:val=""/>
      <w:lvlJc w:val="left"/>
      <w:pPr>
        <w:tabs>
          <w:tab w:val="num" w:pos="5040"/>
        </w:tabs>
        <w:ind w:left="5040" w:hanging="360"/>
      </w:pPr>
      <w:rPr>
        <w:rFonts w:ascii="Symbol" w:hAnsi="Symbol" w:hint="default"/>
      </w:rPr>
    </w:lvl>
    <w:lvl w:ilvl="7" w:tplc="DD12BD10" w:tentative="1">
      <w:start w:val="1"/>
      <w:numFmt w:val="bullet"/>
      <w:lvlText w:val="o"/>
      <w:lvlJc w:val="left"/>
      <w:pPr>
        <w:tabs>
          <w:tab w:val="num" w:pos="5760"/>
        </w:tabs>
        <w:ind w:left="5760" w:hanging="360"/>
      </w:pPr>
      <w:rPr>
        <w:rFonts w:ascii="Courier New" w:hAnsi="Courier New" w:hint="default"/>
      </w:rPr>
    </w:lvl>
    <w:lvl w:ilvl="8" w:tplc="C224965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18"/>
  </w:num>
  <w:num w:numId="4">
    <w:abstractNumId w:val="16"/>
  </w:num>
  <w:num w:numId="5">
    <w:abstractNumId w:val="25"/>
  </w:num>
  <w:num w:numId="6">
    <w:abstractNumId w:val="24"/>
  </w:num>
  <w:num w:numId="7">
    <w:abstractNumId w:val="14"/>
  </w:num>
  <w:num w:numId="8">
    <w:abstractNumId w:val="15"/>
  </w:num>
  <w:num w:numId="9">
    <w:abstractNumId w:val="0"/>
  </w:num>
  <w:num w:numId="10">
    <w:abstractNumId w:val="6"/>
  </w:num>
  <w:num w:numId="11">
    <w:abstractNumId w:val="10"/>
  </w:num>
  <w:num w:numId="12">
    <w:abstractNumId w:val="26"/>
  </w:num>
  <w:num w:numId="13">
    <w:abstractNumId w:val="2"/>
  </w:num>
  <w:num w:numId="14">
    <w:abstractNumId w:val="22"/>
  </w:num>
  <w:num w:numId="15">
    <w:abstractNumId w:val="7"/>
  </w:num>
  <w:num w:numId="16">
    <w:abstractNumId w:val="1"/>
  </w:num>
  <w:num w:numId="17">
    <w:abstractNumId w:val="12"/>
  </w:num>
  <w:num w:numId="18">
    <w:abstractNumId w:val="4"/>
  </w:num>
  <w:num w:numId="19">
    <w:abstractNumId w:val="21"/>
  </w:num>
  <w:num w:numId="20">
    <w:abstractNumId w:val="11"/>
  </w:num>
  <w:num w:numId="21">
    <w:abstractNumId w:val="20"/>
  </w:num>
  <w:num w:numId="22">
    <w:abstractNumId w:val="5"/>
  </w:num>
  <w:num w:numId="23">
    <w:abstractNumId w:val="8"/>
  </w:num>
  <w:num w:numId="24">
    <w:abstractNumId w:val="3"/>
  </w:num>
  <w:num w:numId="25">
    <w:abstractNumId w:val="17"/>
  </w:num>
  <w:num w:numId="26">
    <w:abstractNumId w:val="9"/>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90"/>
    <w:rsid w:val="001D46DF"/>
    <w:rsid w:val="00481E87"/>
    <w:rsid w:val="005D4306"/>
    <w:rsid w:val="005E455D"/>
    <w:rsid w:val="00BB6442"/>
    <w:rsid w:val="00CA6A90"/>
    <w:rsid w:val="00CB6BB9"/>
    <w:rsid w:val="00D9752B"/>
    <w:rsid w:val="00F6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958265-794D-459A-A607-71DD5B59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18C"/>
    <w:rPr>
      <w:rFonts w:ascii="Arial" w:hAnsi="Arial"/>
      <w:sz w:val="24"/>
    </w:rPr>
  </w:style>
  <w:style w:type="paragraph" w:styleId="Heading1">
    <w:name w:val="heading 1"/>
    <w:basedOn w:val="Normal"/>
    <w:next w:val="Normal"/>
    <w:link w:val="Heading1Char"/>
    <w:uiPriority w:val="9"/>
    <w:qFormat/>
    <w:rsid w:val="004B418C"/>
    <w:pPr>
      <w:keepNext/>
      <w:outlineLvl w:val="0"/>
    </w:pPr>
    <w:rPr>
      <w:b/>
    </w:rPr>
  </w:style>
  <w:style w:type="paragraph" w:styleId="Heading3">
    <w:name w:val="heading 3"/>
    <w:basedOn w:val="Normal"/>
    <w:next w:val="Normal"/>
    <w:link w:val="Heading3Char"/>
    <w:uiPriority w:val="9"/>
    <w:semiHidden/>
    <w:unhideWhenUsed/>
    <w:qFormat/>
    <w:rsid w:val="00735017"/>
    <w:pPr>
      <w:keepNext/>
      <w:keepLines/>
      <w:spacing w:before="200"/>
      <w:outlineLvl w:val="2"/>
    </w:pPr>
    <w:rPr>
      <w:rFonts w:asciiTheme="majorHAnsi" w:eastAsiaTheme="majorEastAsia" w:hAnsiTheme="majorHAnsi"/>
      <w:b/>
      <w:bCs/>
      <w:color w:val="4F81BD" w:themeColor="accent1"/>
    </w:rPr>
  </w:style>
  <w:style w:type="paragraph" w:styleId="Heading5">
    <w:name w:val="heading 5"/>
    <w:basedOn w:val="Normal"/>
    <w:next w:val="Normal"/>
    <w:link w:val="Heading5Char"/>
    <w:uiPriority w:val="9"/>
    <w:qFormat/>
    <w:rsid w:val="004B418C"/>
    <w:pPr>
      <w:keepNext/>
      <w:outlineLvl w:val="4"/>
    </w:pPr>
    <w:rPr>
      <w:rFonts w:ascii="Univers" w:hAnsi="Univers"/>
      <w:b/>
      <w:u w:val="single"/>
    </w:rPr>
  </w:style>
  <w:style w:type="paragraph" w:styleId="Heading6">
    <w:name w:val="heading 6"/>
    <w:basedOn w:val="Normal"/>
    <w:next w:val="Normal"/>
    <w:link w:val="Heading6Char"/>
    <w:uiPriority w:val="9"/>
    <w:qFormat/>
    <w:rsid w:val="004B418C"/>
    <w:pPr>
      <w:keepNext/>
      <w:outlineLvl w:val="5"/>
    </w:pPr>
    <w:rPr>
      <w:rFonts w:ascii="Univers" w:hAnsi="Univers"/>
      <w:b/>
    </w:rPr>
  </w:style>
  <w:style w:type="paragraph" w:styleId="Heading7">
    <w:name w:val="heading 7"/>
    <w:basedOn w:val="Normal"/>
    <w:next w:val="Normal"/>
    <w:link w:val="Heading7Char"/>
    <w:uiPriority w:val="9"/>
    <w:qFormat/>
    <w:rsid w:val="004B418C"/>
    <w:pPr>
      <w:keepNext/>
      <w:outlineLvl w:val="6"/>
    </w:pPr>
    <w:rPr>
      <w:rFonts w:ascii="Univers" w:hAnsi="Univers"/>
      <w:u w:val="single"/>
    </w:rPr>
  </w:style>
  <w:style w:type="paragraph" w:styleId="Heading8">
    <w:name w:val="heading 8"/>
    <w:basedOn w:val="Normal"/>
    <w:next w:val="Normal"/>
    <w:link w:val="Heading8Char"/>
    <w:uiPriority w:val="9"/>
    <w:semiHidden/>
    <w:unhideWhenUsed/>
    <w:qFormat/>
    <w:rsid w:val="00E362C7"/>
    <w:pPr>
      <w:keepNext/>
      <w:keepLines/>
      <w:spacing w:before="200"/>
      <w:outlineLvl w:val="7"/>
    </w:pPr>
    <w:rPr>
      <w:rFonts w:asciiTheme="majorHAnsi" w:eastAsiaTheme="majorEastAsia" w:hAnsiTheme="majorHAns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735017"/>
    <w:rPr>
      <w:rFonts w:asciiTheme="majorHAnsi" w:eastAsiaTheme="majorEastAsia" w:hAnsiTheme="majorHAnsi" w:cs="Times New Roman"/>
      <w:b/>
      <w:bCs/>
      <w:color w:val="4F81BD" w:themeColor="accent1"/>
      <w:sz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E362C7"/>
    <w:rPr>
      <w:rFonts w:asciiTheme="majorHAnsi" w:eastAsiaTheme="majorEastAsia" w:hAnsiTheme="majorHAnsi" w:cs="Times New Roman"/>
      <w:color w:val="404040" w:themeColor="text1" w:themeTint="BF"/>
    </w:rPr>
  </w:style>
  <w:style w:type="paragraph" w:styleId="Header">
    <w:name w:val="header"/>
    <w:basedOn w:val="Normal"/>
    <w:link w:val="HeaderChar"/>
    <w:uiPriority w:val="99"/>
    <w:rsid w:val="004B418C"/>
  </w:style>
  <w:style w:type="character" w:customStyle="1" w:styleId="HeaderChar">
    <w:name w:val="Header Char"/>
    <w:basedOn w:val="DefaultParagraphFont"/>
    <w:link w:val="Header"/>
    <w:uiPriority w:val="99"/>
    <w:semiHidden/>
    <w:locked/>
    <w:rPr>
      <w:rFonts w:ascii="Arial" w:hAnsi="Arial" w:cs="Times New Roman"/>
      <w:sz w:val="24"/>
    </w:rPr>
  </w:style>
  <w:style w:type="paragraph" w:customStyle="1" w:styleId="arial11">
    <w:name w:val="arial11"/>
    <w:basedOn w:val="Normal"/>
    <w:rsid w:val="004B418C"/>
  </w:style>
  <w:style w:type="paragraph" w:styleId="BodyText">
    <w:name w:val="Body Text"/>
    <w:basedOn w:val="Normal"/>
    <w:link w:val="BodyTextChar"/>
    <w:uiPriority w:val="99"/>
    <w:rsid w:val="004B418C"/>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Footer">
    <w:name w:val="footer"/>
    <w:basedOn w:val="Normal"/>
    <w:link w:val="FooterChar"/>
    <w:uiPriority w:val="99"/>
    <w:rsid w:val="004B418C"/>
    <w:pPr>
      <w:tabs>
        <w:tab w:val="center" w:pos="4153"/>
        <w:tab w:val="right" w:pos="8306"/>
      </w:tabs>
    </w:pPr>
  </w:style>
  <w:style w:type="character" w:customStyle="1" w:styleId="FooterChar">
    <w:name w:val="Footer Char"/>
    <w:basedOn w:val="DefaultParagraphFont"/>
    <w:link w:val="Footer"/>
    <w:uiPriority w:val="99"/>
    <w:locked/>
    <w:rsid w:val="00E362C7"/>
    <w:rPr>
      <w:rFonts w:ascii="Arial" w:hAnsi="Arial" w:cs="Times New Roman"/>
      <w:sz w:val="24"/>
    </w:rPr>
  </w:style>
  <w:style w:type="character" w:styleId="PageNumber">
    <w:name w:val="page number"/>
    <w:basedOn w:val="DefaultParagraphFont"/>
    <w:uiPriority w:val="99"/>
    <w:rsid w:val="004B418C"/>
    <w:rPr>
      <w:rFonts w:cs="Times New Roman"/>
    </w:rPr>
  </w:style>
  <w:style w:type="paragraph" w:styleId="BalloonText">
    <w:name w:val="Balloon Text"/>
    <w:basedOn w:val="Normal"/>
    <w:link w:val="BalloonTextChar"/>
    <w:uiPriority w:val="99"/>
    <w:semiHidden/>
    <w:rsid w:val="003579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6A2DEC"/>
    <w:pPr>
      <w:ind w:left="720"/>
      <w:contextualSpacing/>
    </w:pPr>
  </w:style>
  <w:style w:type="character" w:styleId="Strong">
    <w:name w:val="Strong"/>
    <w:basedOn w:val="DefaultParagraphFont"/>
    <w:uiPriority w:val="22"/>
    <w:qFormat/>
    <w:rsid w:val="00827743"/>
    <w:rPr>
      <w:rFonts w:cs="Times New Roman"/>
      <w:b/>
      <w:bCs/>
    </w:rPr>
  </w:style>
  <w:style w:type="paragraph" w:customStyle="1" w:styleId="00-Normal-BB">
    <w:name w:val="00-Normal-BB"/>
    <w:rsid w:val="00827743"/>
    <w:pPr>
      <w:jc w:val="both"/>
    </w:pPr>
    <w:rPr>
      <w:rFonts w:ascii="Arial" w:hAnsi="Arial"/>
      <w:sz w:val="22"/>
      <w:lang w:eastAsia="en-US"/>
    </w:rPr>
  </w:style>
  <w:style w:type="paragraph" w:customStyle="1" w:styleId="01-NormInd1-BB">
    <w:name w:val="01-NormInd1-BB"/>
    <w:basedOn w:val="00-Normal-BB"/>
    <w:rsid w:val="00827743"/>
    <w:pPr>
      <w:ind w:left="720"/>
    </w:pPr>
  </w:style>
  <w:style w:type="character" w:styleId="CommentReference">
    <w:name w:val="annotation reference"/>
    <w:basedOn w:val="DefaultParagraphFont"/>
    <w:uiPriority w:val="99"/>
    <w:semiHidden/>
    <w:unhideWhenUsed/>
    <w:rsid w:val="00FB3510"/>
    <w:rPr>
      <w:rFonts w:cs="Times New Roman"/>
      <w:sz w:val="16"/>
      <w:szCs w:val="16"/>
    </w:rPr>
  </w:style>
  <w:style w:type="paragraph" w:styleId="CommentText">
    <w:name w:val="annotation text"/>
    <w:basedOn w:val="Normal"/>
    <w:link w:val="CommentTextChar"/>
    <w:uiPriority w:val="99"/>
    <w:semiHidden/>
    <w:unhideWhenUsed/>
    <w:rsid w:val="00FB3510"/>
    <w:rPr>
      <w:sz w:val="20"/>
    </w:rPr>
  </w:style>
  <w:style w:type="character" w:customStyle="1" w:styleId="CommentTextChar">
    <w:name w:val="Comment Text Char"/>
    <w:basedOn w:val="DefaultParagraphFont"/>
    <w:link w:val="CommentText"/>
    <w:uiPriority w:val="99"/>
    <w:semiHidden/>
    <w:locked/>
    <w:rsid w:val="00FB3510"/>
    <w:rPr>
      <w:rFonts w:ascii="Arial" w:hAnsi="Arial" w:cs="Times New Roman"/>
    </w:rPr>
  </w:style>
  <w:style w:type="paragraph" w:styleId="CommentSubject">
    <w:name w:val="annotation subject"/>
    <w:basedOn w:val="CommentText"/>
    <w:next w:val="CommentText"/>
    <w:link w:val="CommentSubjectChar"/>
    <w:uiPriority w:val="99"/>
    <w:semiHidden/>
    <w:unhideWhenUsed/>
    <w:rsid w:val="00FB3510"/>
    <w:rPr>
      <w:b/>
      <w:bCs/>
    </w:rPr>
  </w:style>
  <w:style w:type="character" w:customStyle="1" w:styleId="CommentSubjectChar">
    <w:name w:val="Comment Subject Char"/>
    <w:basedOn w:val="CommentTextChar"/>
    <w:link w:val="CommentSubject"/>
    <w:uiPriority w:val="99"/>
    <w:semiHidden/>
    <w:locked/>
    <w:rsid w:val="00FB3510"/>
    <w:rPr>
      <w:rFonts w:ascii="Arial" w:hAnsi="Arial" w:cs="Times New Roman"/>
      <w:b/>
      <w:bCs/>
    </w:rPr>
  </w:style>
  <w:style w:type="table" w:styleId="TableGrid">
    <w:name w:val="Table Grid"/>
    <w:basedOn w:val="TableNormal"/>
    <w:uiPriority w:val="59"/>
    <w:rsid w:val="00F13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15C08"/>
    <w:pPr>
      <w:widowControl w:val="0"/>
      <w:suppressAutoHyphens/>
    </w:pPr>
    <w:rPr>
      <w:rFonts w:ascii="Times New Roman" w:hAnsi="Times New Roman"/>
      <w:kern w:val="1"/>
      <w:sz w:val="20"/>
    </w:rPr>
  </w:style>
  <w:style w:type="character" w:customStyle="1" w:styleId="FootnoteTextChar">
    <w:name w:val="Footnote Text Char"/>
    <w:basedOn w:val="DefaultParagraphFont"/>
    <w:link w:val="FootnoteText"/>
    <w:uiPriority w:val="99"/>
    <w:semiHidden/>
    <w:locked/>
    <w:rsid w:val="00815C08"/>
    <w:rPr>
      <w:rFonts w:eastAsia="Times New Roman" w:cs="Times New Roman"/>
      <w:kern w:val="1"/>
    </w:rPr>
  </w:style>
  <w:style w:type="character" w:styleId="FootnoteReference">
    <w:name w:val="footnote reference"/>
    <w:basedOn w:val="DefaultParagraphFont"/>
    <w:uiPriority w:val="99"/>
    <w:semiHidden/>
    <w:rsid w:val="00815C08"/>
    <w:rPr>
      <w:rFonts w:cs="Times New Roman"/>
      <w:vertAlign w:val="superscript"/>
    </w:rPr>
  </w:style>
  <w:style w:type="character" w:styleId="Hyperlink">
    <w:name w:val="Hyperlink"/>
    <w:basedOn w:val="DefaultParagraphFont"/>
    <w:uiPriority w:val="99"/>
    <w:rsid w:val="00815C08"/>
    <w:rPr>
      <w:rFonts w:cs="Times New Roman"/>
      <w:color w:val="0000FF"/>
      <w:u w:val="single"/>
    </w:rPr>
  </w:style>
  <w:style w:type="paragraph" w:styleId="Revision">
    <w:name w:val="Revision"/>
    <w:hidden/>
    <w:uiPriority w:val="99"/>
    <w:semiHidden/>
    <w:rsid w:val="0045359E"/>
    <w:rPr>
      <w:rFonts w:ascii="Arial" w:hAnsi="Arial"/>
      <w:sz w:val="24"/>
    </w:rPr>
  </w:style>
  <w:style w:type="table" w:customStyle="1" w:styleId="TableGrid1">
    <w:name w:val="Table Grid1"/>
    <w:basedOn w:val="TableNormal"/>
    <w:next w:val="TableGrid"/>
    <w:uiPriority w:val="59"/>
    <w:rsid w:val="002B6620"/>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3F2"/>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GB" sz="1200" b="1" i="0" u="none" strike="noStrike" baseline="0">
                <a:solidFill>
                  <a:srgbClr val="000000"/>
                </a:solidFill>
                <a:latin typeface="Calibri"/>
              </a:rPr>
              <a:t>DEBT BY MATURITY (£m)</a:t>
            </a:r>
          </a:p>
          <a:p>
            <a:pPr>
              <a:defRPr sz="1000" b="0" i="0" u="none" strike="noStrike" baseline="0">
                <a:solidFill>
                  <a:srgbClr val="000000"/>
                </a:solidFill>
                <a:latin typeface="Calibri"/>
                <a:ea typeface="Calibri"/>
                <a:cs typeface="Calibri"/>
              </a:defRPr>
            </a:pPr>
            <a:r>
              <a:rPr lang="en-GB" sz="1200" b="1" i="0" u="none" strike="noStrike" baseline="0">
                <a:solidFill>
                  <a:srgbClr val="000000"/>
                </a:solidFill>
                <a:latin typeface="Calibri"/>
              </a:rPr>
              <a:t>AS AT 31/3/17</a:t>
            </a:r>
          </a:p>
        </c:rich>
      </c:tx>
      <c:layout/>
      <c:overlay val="0"/>
    </c:title>
    <c:autoTitleDeleted val="0"/>
    <c:plotArea>
      <c:layout/>
      <c:barChart>
        <c:barDir val="col"/>
        <c:grouping val="clustered"/>
        <c:varyColors val="0"/>
        <c:ser>
          <c:idx val="0"/>
          <c:order val="0"/>
          <c:tx>
            <c:strRef>
              <c:f>'Aged Debt'!$W$24</c:f>
              <c:strCache>
                <c:ptCount val="1"/>
                <c:pt idx="0">
                  <c:v>Millions</c:v>
                </c:pt>
              </c:strCache>
            </c:strRef>
          </c:tx>
          <c:invertIfNegative val="0"/>
          <c:cat>
            <c:strRef>
              <c:f>'Aged Debt'!$V$25:$V$31</c:f>
              <c:strCache>
                <c:ptCount val="7"/>
                <c:pt idx="0">
                  <c:v>&lt; 12 mths</c:v>
                </c:pt>
                <c:pt idx="1">
                  <c:v>12 mths - 2yrs</c:v>
                </c:pt>
                <c:pt idx="2">
                  <c:v>2yrs - 5yrs</c:v>
                </c:pt>
                <c:pt idx="3">
                  <c:v>5yrs - 10yrs</c:v>
                </c:pt>
                <c:pt idx="4">
                  <c:v>10yrs - 15yrs</c:v>
                </c:pt>
                <c:pt idx="5">
                  <c:v>15yrs &gt;</c:v>
                </c:pt>
                <c:pt idx="6">
                  <c:v>Uncertain</c:v>
                </c:pt>
              </c:strCache>
            </c:strRef>
          </c:cat>
          <c:val>
            <c:numRef>
              <c:f>'Aged Debt'!$W$25:$W$31</c:f>
              <c:numCache>
                <c:formatCode>0.00</c:formatCode>
                <c:ptCount val="7"/>
                <c:pt idx="0">
                  <c:v>457315639.41000003</c:v>
                </c:pt>
                <c:pt idx="1">
                  <c:v>153500000</c:v>
                </c:pt>
                <c:pt idx="2">
                  <c:v>179250000</c:v>
                </c:pt>
                <c:pt idx="3">
                  <c:v>55000000</c:v>
                </c:pt>
                <c:pt idx="4">
                  <c:v>44600000</c:v>
                </c:pt>
                <c:pt idx="5">
                  <c:v>100000000</c:v>
                </c:pt>
                <c:pt idx="6">
                  <c:v>52051290.169741184</c:v>
                </c:pt>
              </c:numCache>
            </c:numRef>
          </c:val>
        </c:ser>
        <c:dLbls>
          <c:showLegendKey val="0"/>
          <c:showVal val="0"/>
          <c:showCatName val="0"/>
          <c:showSerName val="0"/>
          <c:showPercent val="0"/>
          <c:showBubbleSize val="0"/>
        </c:dLbls>
        <c:gapWidth val="150"/>
        <c:axId val="293555752"/>
        <c:axId val="293530472"/>
      </c:barChart>
      <c:catAx>
        <c:axId val="293555752"/>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293530472"/>
        <c:crosses val="autoZero"/>
        <c:auto val="1"/>
        <c:lblAlgn val="ctr"/>
        <c:lblOffset val="100"/>
        <c:noMultiLvlLbl val="0"/>
      </c:catAx>
      <c:valAx>
        <c:axId val="293530472"/>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93555752"/>
        <c:crosses val="autoZero"/>
        <c:crossBetween val="between"/>
        <c:dispUnits>
          <c:builtInUnit val="millions"/>
          <c:dispUnitsLbl>
            <c:layout/>
            <c:txPr>
              <a:bodyPr rot="-5400000" vert="horz"/>
              <a:lstStyle/>
              <a:p>
                <a:pPr algn="ctr">
                  <a:defRPr sz="1000" b="1" i="0" u="none" strike="noStrike" baseline="0">
                    <a:solidFill>
                      <a:srgbClr val="000000"/>
                    </a:solidFill>
                    <a:latin typeface="Calibri"/>
                    <a:ea typeface="Calibri"/>
                    <a:cs typeface="Calibri"/>
                  </a:defRPr>
                </a:pPr>
                <a:endParaRPr lang="en-US"/>
              </a:p>
            </c:txPr>
          </c:dispUnitsLbl>
        </c:dispUnits>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0C97-0BFB-4C5F-A609-AE382040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167</TotalTime>
  <Pages>9</Pages>
  <Words>2359</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Parker, Sam</cp:lastModifiedBy>
  <cp:revision>9</cp:revision>
  <cp:lastPrinted>2016-06-22T09:18:00Z</cp:lastPrinted>
  <dcterms:created xsi:type="dcterms:W3CDTF">2017-06-05T12:43:00Z</dcterms:created>
  <dcterms:modified xsi:type="dcterms:W3CDTF">2017-06-16T09:21:00Z</dcterms:modified>
</cp:coreProperties>
</file>